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EFEFE"/>
        <w:spacing w:before="120" w:beforeLines="50" w:after="120" w:afterLines="50" w:line="360" w:lineRule="auto"/>
        <w:jc w:val="left"/>
        <w:rPr>
          <w:rFonts w:ascii="Times New Roman" w:hAnsi="Times New Roman" w:eastAsia="宋体"/>
          <w:kern w:val="0"/>
          <w:sz w:val="24"/>
        </w:rPr>
      </w:pPr>
      <w:r>
        <w:rPr>
          <w:rFonts w:ascii="Times New Roman" w:hAnsi="Times New Roman" w:eastAsia="宋体"/>
          <w:kern w:val="0"/>
          <w:sz w:val="24"/>
        </w:rPr>
        <w:t>附件：9</w:t>
      </w:r>
    </w:p>
    <w:p>
      <w:pPr>
        <w:widowControl/>
        <w:shd w:val="clear" w:color="auto" w:fill="FEFEFE"/>
        <w:spacing w:before="120" w:beforeLines="50" w:after="120" w:afterLines="50" w:line="360" w:lineRule="auto"/>
        <w:jc w:val="center"/>
        <w:rPr>
          <w:rFonts w:ascii="Times New Roman" w:hAnsi="Times New Roman" w:eastAsia="宋体"/>
          <w:color w:val="000000"/>
          <w:kern w:val="0"/>
          <w:sz w:val="32"/>
          <w:szCs w:val="32"/>
          <w:highlight w:val="none"/>
        </w:rPr>
      </w:pPr>
      <w:r>
        <w:rPr>
          <w:rFonts w:ascii="Times New Roman" w:hAnsi="Times New Roman" w:eastAsia="宋体"/>
          <w:color w:val="000000"/>
          <w:kern w:val="0"/>
          <w:sz w:val="32"/>
          <w:szCs w:val="32"/>
          <w:highlight w:val="none"/>
        </w:rPr>
        <w:t>综合成绩计算细则及评分参考标准</w:t>
      </w:r>
    </w:p>
    <w:p>
      <w:pPr>
        <w:widowControl/>
        <w:shd w:val="clear" w:color="auto" w:fill="FEFEFE"/>
        <w:spacing w:before="120" w:beforeLines="50" w:after="120" w:afterLines="50" w:line="360" w:lineRule="auto"/>
        <w:ind w:hanging="420"/>
        <w:jc w:val="left"/>
        <w:rPr>
          <w:rFonts w:ascii="Times New Roman" w:hAnsi="Times New Roman" w:eastAsia="宋体"/>
          <w:b/>
          <w:color w:val="000000"/>
          <w:kern w:val="0"/>
          <w:sz w:val="24"/>
          <w:highlight w:val="none"/>
        </w:rPr>
      </w:pPr>
      <w:r>
        <w:rPr>
          <w:rFonts w:ascii="Times New Roman" w:hAnsi="Times New Roman" w:eastAsia="宋体"/>
          <w:b/>
          <w:color w:val="000000"/>
          <w:kern w:val="0"/>
          <w:sz w:val="24"/>
          <w:highlight w:val="none"/>
        </w:rPr>
        <w:t>一、硕士研究生综合成绩计算细则及评分参考标准</w:t>
      </w:r>
    </w:p>
    <w:p>
      <w:pPr>
        <w:widowControl/>
        <w:shd w:val="clear" w:color="auto" w:fill="FFFFFF"/>
        <w:spacing w:line="420" w:lineRule="atLeast"/>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1、综合成绩以学习成绩为基准，采取综合加分制度，具体计算公式如下：</w:t>
      </w:r>
    </w:p>
    <w:p>
      <w:pPr>
        <w:widowControl/>
        <w:shd w:val="clear" w:color="auto" w:fill="FFFFFF"/>
        <w:spacing w:line="420" w:lineRule="atLeast"/>
        <w:jc w:val="center"/>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综合成绩=</w:t>
      </w:r>
      <w:r>
        <w:rPr>
          <w:rFonts w:hint="eastAsia" w:ascii="Times New Roman" w:hAnsi="Times New Roman" w:eastAsia="宋体"/>
          <w:color w:val="000000"/>
          <w:kern w:val="0"/>
          <w:sz w:val="24"/>
          <w:highlight w:val="none"/>
          <w:lang w:val="en-US" w:eastAsia="zh-CN"/>
        </w:rPr>
        <w:t>学习成绩</w:t>
      </w:r>
      <w:r>
        <w:rPr>
          <w:rFonts w:ascii="Times New Roman" w:hAnsi="Times New Roman" w:eastAsia="宋体"/>
          <w:color w:val="000000"/>
          <w:kern w:val="0"/>
          <w:sz w:val="24"/>
          <w:highlight w:val="none"/>
        </w:rPr>
        <w:t>+</w:t>
      </w:r>
      <w:r>
        <w:rPr>
          <w:rFonts w:hint="eastAsia" w:ascii="Times New Roman" w:hAnsi="Times New Roman" w:eastAsia="宋体"/>
          <w:color w:val="000000"/>
          <w:kern w:val="0"/>
          <w:sz w:val="24"/>
          <w:highlight w:val="none"/>
        </w:rPr>
        <w:t>德育综合加分</w:t>
      </w:r>
      <w:r>
        <w:rPr>
          <w:rFonts w:ascii="Times New Roman" w:hAnsi="Times New Roman" w:eastAsia="宋体"/>
          <w:color w:val="000000"/>
          <w:kern w:val="0"/>
          <w:sz w:val="24"/>
          <w:highlight w:val="none"/>
        </w:rPr>
        <w:t>+</w:t>
      </w:r>
      <w:r>
        <w:rPr>
          <w:rFonts w:hint="eastAsia" w:ascii="Times New Roman" w:hAnsi="Times New Roman" w:eastAsia="宋体"/>
          <w:color w:val="000000"/>
          <w:kern w:val="0"/>
          <w:sz w:val="24"/>
          <w:highlight w:val="none"/>
        </w:rPr>
        <w:t>科技竞赛加分+</w:t>
      </w:r>
      <w:r>
        <w:rPr>
          <w:rFonts w:ascii="Times New Roman" w:hAnsi="Times New Roman" w:eastAsia="宋体"/>
          <w:color w:val="000000"/>
          <w:kern w:val="0"/>
          <w:sz w:val="24"/>
          <w:highlight w:val="none"/>
        </w:rPr>
        <w:t>学术加分</w:t>
      </w:r>
    </w:p>
    <w:p>
      <w:pPr>
        <w:widowControl/>
        <w:shd w:val="clear" w:color="auto" w:fill="FFFFFF"/>
        <w:spacing w:line="420" w:lineRule="atLeast"/>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2、</w:t>
      </w:r>
      <w:r>
        <w:rPr>
          <w:rFonts w:hint="eastAsia" w:ascii="Times New Roman" w:hAnsi="Times New Roman" w:eastAsia="宋体"/>
          <w:color w:val="000000"/>
          <w:kern w:val="0"/>
          <w:sz w:val="24"/>
          <w:highlight w:val="none"/>
          <w:lang w:val="en-US" w:eastAsia="zh-CN"/>
        </w:rPr>
        <w:t>学习成绩</w:t>
      </w:r>
      <w:r>
        <w:rPr>
          <w:rFonts w:ascii="Times New Roman" w:hAnsi="Times New Roman" w:eastAsia="宋体"/>
          <w:color w:val="000000"/>
          <w:kern w:val="0"/>
          <w:sz w:val="24"/>
          <w:highlight w:val="none"/>
        </w:rPr>
        <w:t>参考能源学院2019级研究生第二年基本奖学金评比时采用的计算方法。</w:t>
      </w:r>
      <w:r>
        <w:rPr>
          <w:rFonts w:hint="eastAsia" w:ascii="Times New Roman" w:hAnsi="Times New Roman" w:eastAsia="宋体"/>
          <w:color w:val="000000"/>
          <w:kern w:val="0"/>
          <w:sz w:val="24"/>
          <w:highlight w:val="none"/>
          <w:lang w:val="en-US" w:eastAsia="zh-CN"/>
        </w:rPr>
        <w:t>学习成绩</w:t>
      </w:r>
      <w:r>
        <w:rPr>
          <w:rFonts w:ascii="Times New Roman" w:hAnsi="Times New Roman" w:eastAsia="宋体"/>
          <w:color w:val="000000"/>
          <w:kern w:val="0"/>
          <w:sz w:val="24"/>
          <w:highlight w:val="none"/>
        </w:rPr>
        <w:t>计算公式如下：</w:t>
      </w:r>
    </w:p>
    <w:p>
      <w:pPr>
        <w:widowControl/>
        <w:shd w:val="clear" w:color="auto" w:fill="FFFFFF"/>
        <w:spacing w:line="420" w:lineRule="atLeast"/>
        <w:ind w:firstLine="643"/>
        <w:jc w:val="center"/>
        <w:rPr>
          <w:rFonts w:hint="default" w:ascii="Times New Roman" w:hAnsi="Times New Roman" w:eastAsia="宋体"/>
          <w:kern w:val="0"/>
          <w:sz w:val="28"/>
          <w:szCs w:val="28"/>
          <w:highlight w:val="none"/>
          <w:lang w:val="en-US" w:eastAsia="zh-CN"/>
        </w:rPr>
      </w:pPr>
      <w:r>
        <w:rPr>
          <w:rFonts w:hint="eastAsia" w:ascii="Times New Roman" w:hAnsi="Times New Roman" w:eastAsia="宋体"/>
          <w:color w:val="000000"/>
          <w:kern w:val="0"/>
          <w:sz w:val="24"/>
          <w:highlight w:val="none"/>
          <w:lang w:val="en-US" w:eastAsia="zh-CN"/>
        </w:rPr>
        <w:t>学习成绩</w:t>
      </w:r>
      <w:r>
        <w:rPr>
          <w:rFonts w:ascii="Times New Roman" w:hAnsi="Times New Roman" w:eastAsia="宋体"/>
          <w:kern w:val="0"/>
          <w:sz w:val="24"/>
          <w:highlight w:val="none"/>
        </w:rPr>
        <w:t>=</w:t>
      </w:r>
      <m:oMath>
        <m:f>
          <m:fPr>
            <m:ctrlPr>
              <w:rPr>
                <w:rFonts w:ascii="Cambria Math" w:hAnsi="Cambria Math" w:eastAsia="宋体" w:cs="宋体"/>
                <w:kern w:val="0"/>
                <w:sz w:val="28"/>
                <w:szCs w:val="28"/>
                <w:highlight w:val="none"/>
              </w:rPr>
            </m:ctrlPr>
          </m:fPr>
          <m:num>
            <m:nary>
              <m:naryPr>
                <m:chr m:val="∑"/>
                <m:limLoc m:val="undOvr"/>
                <m:subHide m:val="1"/>
                <m:supHide m:val="1"/>
                <m:ctrlPr>
                  <w:rPr>
                    <w:rFonts w:ascii="Cambria Math" w:hAnsi="Cambria Math" w:eastAsia="宋体" w:cs="宋体"/>
                    <w:kern w:val="0"/>
                    <w:sz w:val="28"/>
                    <w:szCs w:val="28"/>
                    <w:highlight w:val="none"/>
                  </w:rPr>
                </m:ctrlPr>
              </m:naryPr>
              <m:sub>
                <m:ctrlPr>
                  <w:rPr>
                    <w:rFonts w:ascii="Cambria Math" w:hAnsi="Cambria Math" w:eastAsia="宋体" w:cs="宋体"/>
                    <w:kern w:val="0"/>
                    <w:sz w:val="28"/>
                    <w:szCs w:val="28"/>
                    <w:highlight w:val="none"/>
                  </w:rPr>
                </m:ctrlPr>
              </m:sub>
              <m:sup>
                <m:ctrlPr>
                  <w:rPr>
                    <w:rFonts w:ascii="Cambria Math" w:hAnsi="Cambria Math" w:eastAsia="宋体" w:cs="宋体"/>
                    <w:kern w:val="0"/>
                    <w:sz w:val="28"/>
                    <w:szCs w:val="28"/>
                    <w:highlight w:val="none"/>
                  </w:rPr>
                </m:ctrlPr>
              </m:sup>
              <m:e>
                <m:r>
                  <m:rPr>
                    <m:sty m:val="p"/>
                  </m:rPr>
                  <w:rPr>
                    <w:rFonts w:ascii="Cambria Math" w:hAnsi="Cambria Math" w:eastAsia="宋体" w:cs="宋体"/>
                    <w:kern w:val="0"/>
                    <w:sz w:val="28"/>
                    <w:szCs w:val="28"/>
                    <w:highlight w:val="none"/>
                  </w:rPr>
                  <m:t>所在研究所学位课</m:t>
                </m:r>
                <m:r>
                  <m:rPr>
                    <m:sty m:val="p"/>
                  </m:rPr>
                  <w:rPr>
                    <w:rFonts w:hint="eastAsia" w:ascii="Cambria Math" w:hAnsi="Cambria Math" w:eastAsia="宋体" w:cs="宋体"/>
                    <w:kern w:val="0"/>
                    <w:sz w:val="28"/>
                    <w:szCs w:val="28"/>
                    <w:highlight w:val="none"/>
                  </w:rPr>
                  <m:t>成绩×</m:t>
                </m:r>
                <m:r>
                  <m:rPr>
                    <m:sty m:val="p"/>
                  </m:rPr>
                  <w:rPr>
                    <w:rFonts w:ascii="Cambria Math" w:hAnsi="Cambria Math" w:eastAsia="宋体" w:cs="宋体"/>
                    <w:kern w:val="0"/>
                    <w:sz w:val="28"/>
                    <w:szCs w:val="28"/>
                    <w:highlight w:val="none"/>
                  </w:rPr>
                  <m:t>课程学分</m:t>
                </m:r>
                <m:ctrlPr>
                  <w:rPr>
                    <w:rFonts w:ascii="Cambria Math" w:hAnsi="Cambria Math" w:eastAsia="宋体" w:cs="宋体"/>
                    <w:kern w:val="0"/>
                    <w:sz w:val="28"/>
                    <w:szCs w:val="28"/>
                    <w:highlight w:val="none"/>
                  </w:rPr>
                </m:ctrlPr>
              </m:e>
            </m:nary>
            <m:ctrlPr>
              <w:rPr>
                <w:rFonts w:ascii="Cambria Math" w:hAnsi="Cambria Math" w:eastAsia="宋体" w:cs="宋体"/>
                <w:kern w:val="0"/>
                <w:sz w:val="28"/>
                <w:szCs w:val="28"/>
                <w:highlight w:val="none"/>
              </w:rPr>
            </m:ctrlPr>
          </m:num>
          <m:den>
            <m:nary>
              <m:naryPr>
                <m:chr m:val="∑"/>
                <m:limLoc m:val="undOvr"/>
                <m:subHide m:val="1"/>
                <m:supHide m:val="1"/>
                <m:ctrlPr>
                  <w:rPr>
                    <w:rFonts w:ascii="Cambria Math" w:hAnsi="Cambria Math" w:eastAsia="宋体" w:cs="宋体"/>
                    <w:kern w:val="0"/>
                    <w:sz w:val="28"/>
                    <w:szCs w:val="28"/>
                    <w:highlight w:val="none"/>
                  </w:rPr>
                </m:ctrlPr>
              </m:naryPr>
              <m:sub>
                <m:ctrlPr>
                  <w:rPr>
                    <w:rFonts w:ascii="Cambria Math" w:hAnsi="Cambria Math" w:eastAsia="宋体" w:cs="宋体"/>
                    <w:kern w:val="0"/>
                    <w:sz w:val="28"/>
                    <w:szCs w:val="28"/>
                    <w:highlight w:val="none"/>
                  </w:rPr>
                </m:ctrlPr>
              </m:sub>
              <m:sup>
                <m:ctrlPr>
                  <w:rPr>
                    <w:rFonts w:ascii="Cambria Math" w:hAnsi="Cambria Math" w:eastAsia="宋体" w:cs="宋体"/>
                    <w:kern w:val="0"/>
                    <w:sz w:val="28"/>
                    <w:szCs w:val="28"/>
                    <w:highlight w:val="none"/>
                  </w:rPr>
                </m:ctrlPr>
              </m:sup>
              <m:e>
                <m:r>
                  <m:rPr>
                    <m:sty m:val="p"/>
                  </m:rPr>
                  <w:rPr>
                    <w:rFonts w:ascii="Cambria Math" w:hAnsi="Cambria Math" w:eastAsia="宋体" w:cs="宋体"/>
                    <w:kern w:val="0"/>
                    <w:sz w:val="28"/>
                    <w:szCs w:val="28"/>
                    <w:highlight w:val="none"/>
                  </w:rPr>
                  <m:t>所在研究所学位课学分</m:t>
                </m:r>
                <m:ctrlPr>
                  <w:rPr>
                    <w:rFonts w:ascii="Cambria Math" w:hAnsi="Cambria Math" w:eastAsia="宋体" w:cs="宋体"/>
                    <w:kern w:val="0"/>
                    <w:sz w:val="28"/>
                    <w:szCs w:val="28"/>
                    <w:highlight w:val="none"/>
                  </w:rPr>
                </m:ctrlPr>
              </m:e>
            </m:nary>
            <m:ctrlPr>
              <w:rPr>
                <w:rFonts w:ascii="Cambria Math" w:hAnsi="Cambria Math" w:eastAsia="宋体" w:cs="宋体"/>
                <w:kern w:val="0"/>
                <w:sz w:val="28"/>
                <w:szCs w:val="28"/>
                <w:highlight w:val="none"/>
              </w:rPr>
            </m:ctrlPr>
          </m:den>
        </m:f>
      </m:oMath>
      <w:r>
        <w:rPr>
          <w:rFonts w:hint="eastAsia" w:ascii="Times New Roman" w:hAnsi="Times New Roman" w:eastAsia="宋体" w:cs="宋体"/>
          <w:i w:val="0"/>
          <w:kern w:val="0"/>
          <w:sz w:val="28"/>
          <w:szCs w:val="28"/>
          <w:highlight w:val="none"/>
          <w:lang w:val="en-US" w:eastAsia="zh-CN"/>
        </w:rPr>
        <w:t>×0.7</w:t>
      </w:r>
    </w:p>
    <w:p>
      <w:pPr>
        <w:widowControl/>
        <w:shd w:val="clear" w:color="auto" w:fill="FFFFFF"/>
        <w:spacing w:line="420" w:lineRule="atLeast"/>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3、</w:t>
      </w:r>
      <w:r>
        <w:rPr>
          <w:rFonts w:hint="eastAsia" w:ascii="Times New Roman" w:hAnsi="Times New Roman" w:eastAsia="宋体"/>
          <w:color w:val="000000"/>
          <w:kern w:val="0"/>
          <w:sz w:val="24"/>
          <w:highlight w:val="none"/>
        </w:rPr>
        <w:t>德育</w:t>
      </w:r>
      <w:r>
        <w:rPr>
          <w:rFonts w:ascii="Times New Roman" w:hAnsi="Times New Roman" w:eastAsia="宋体"/>
          <w:color w:val="000000"/>
          <w:kern w:val="0"/>
          <w:sz w:val="24"/>
          <w:highlight w:val="none"/>
        </w:rPr>
        <w:t>综合加分参考标准</w:t>
      </w:r>
      <w:r>
        <w:rPr>
          <w:rFonts w:hint="eastAsia" w:ascii="Times New Roman" w:hAnsi="Times New Roman" w:eastAsia="宋体"/>
          <w:color w:val="000000"/>
          <w:kern w:val="0"/>
          <w:sz w:val="24"/>
          <w:highlight w:val="none"/>
        </w:rPr>
        <w:t>（满分5分）</w:t>
      </w:r>
    </w:p>
    <w:p>
      <w:pPr>
        <w:widowControl/>
        <w:shd w:val="clear" w:color="auto" w:fill="FFFFFF"/>
        <w:spacing w:line="420" w:lineRule="atLeast"/>
        <w:ind w:firstLine="480" w:firstLineChars="200"/>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思想作风正派，并有良好的道德品质，自觉遵守学校的各项规章制度，积极参加并协调好学校及学院组织的各项活动。</w:t>
      </w:r>
    </w:p>
    <w:p>
      <w:pPr>
        <w:widowControl/>
        <w:shd w:val="clear" w:color="auto" w:fill="FFFFFF"/>
        <w:spacing w:line="420" w:lineRule="atLeast"/>
        <w:ind w:firstLine="480" w:firstLineChars="200"/>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研究生在校期间获得</w:t>
      </w:r>
      <w:bookmarkStart w:id="0" w:name="OLE_LINK6"/>
      <w:bookmarkStart w:id="1" w:name="OLE_LINK7"/>
      <w:bookmarkStart w:id="2" w:name="OLE_LINK5"/>
      <w:r>
        <w:rPr>
          <w:rFonts w:ascii="Times New Roman" w:hAnsi="Times New Roman" w:eastAsia="宋体"/>
          <w:color w:val="000000"/>
          <w:kern w:val="0"/>
          <w:sz w:val="24"/>
          <w:highlight w:val="none"/>
        </w:rPr>
        <w:t>德育</w:t>
      </w:r>
      <w:bookmarkEnd w:id="0"/>
      <w:bookmarkEnd w:id="1"/>
      <w:bookmarkEnd w:id="2"/>
      <w:r>
        <w:rPr>
          <w:rFonts w:ascii="Times New Roman" w:hAnsi="Times New Roman" w:eastAsia="宋体"/>
          <w:color w:val="000000"/>
          <w:kern w:val="0"/>
          <w:sz w:val="24"/>
          <w:highlight w:val="none"/>
        </w:rPr>
        <w:t>奖励予以相应加分，德育奖励加分不可累加</w:t>
      </w:r>
      <w:r>
        <w:rPr>
          <w:rFonts w:hint="eastAsia" w:ascii="Times New Roman" w:hAnsi="Times New Roman" w:eastAsia="宋体"/>
          <w:color w:val="000000"/>
          <w:kern w:val="0"/>
          <w:sz w:val="24"/>
          <w:highlight w:val="none"/>
        </w:rPr>
        <w:t>，按最高项计算</w:t>
      </w:r>
      <w:r>
        <w:rPr>
          <w:rFonts w:ascii="Times New Roman" w:hAnsi="Times New Roman" w:eastAsia="宋体"/>
          <w:color w:val="000000"/>
          <w:kern w:val="0"/>
          <w:sz w:val="24"/>
          <w:highlight w:val="none"/>
        </w:rPr>
        <w:t>。</w:t>
      </w:r>
    </w:p>
    <w:p>
      <w:pPr>
        <w:widowControl/>
        <w:shd w:val="clear" w:color="auto" w:fill="FFFFFF"/>
        <w:spacing w:line="420" w:lineRule="atLeast"/>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（1）基础评价（满分</w:t>
      </w:r>
      <w:r>
        <w:rPr>
          <w:rFonts w:hint="eastAsia" w:ascii="Times New Roman" w:hAnsi="Times New Roman" w:eastAsia="宋体"/>
          <w:color w:val="000000"/>
          <w:kern w:val="0"/>
          <w:sz w:val="24"/>
          <w:highlight w:val="none"/>
        </w:rPr>
        <w:t>3</w:t>
      </w:r>
      <w:r>
        <w:rPr>
          <w:rFonts w:ascii="Times New Roman" w:hAnsi="Times New Roman" w:eastAsia="宋体"/>
          <w:color w:val="000000"/>
          <w:kern w:val="0"/>
          <w:sz w:val="24"/>
          <w:highlight w:val="none"/>
        </w:rPr>
        <w:t>分）</w:t>
      </w:r>
    </w:p>
    <w:p>
      <w:pPr>
        <w:widowControl/>
        <w:shd w:val="clear" w:color="auto" w:fill="FFFFFF"/>
        <w:spacing w:line="420" w:lineRule="atLeast"/>
        <w:ind w:firstLine="480" w:firstLineChars="200"/>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2</w:t>
      </w:r>
      <w:r>
        <w:rPr>
          <w:rFonts w:hint="eastAsia" w:ascii="Times New Roman" w:hAnsi="Times New Roman" w:eastAsia="宋体"/>
          <w:color w:val="000000"/>
          <w:kern w:val="0"/>
          <w:sz w:val="24"/>
          <w:highlight w:val="none"/>
        </w:rPr>
        <w:t>分：以班级为单位，以</w:t>
      </w:r>
      <w:r>
        <w:rPr>
          <w:rFonts w:ascii="Times New Roman" w:hAnsi="Times New Roman" w:eastAsia="宋体"/>
          <w:color w:val="000000"/>
          <w:kern w:val="0"/>
          <w:sz w:val="24"/>
          <w:highlight w:val="none"/>
        </w:rPr>
        <w:t>学生互评为主等方式进行，应能充分反映研究生的日常德育表现和参加学院以及学校活动等表现</w:t>
      </w:r>
      <w:r>
        <w:rPr>
          <w:rFonts w:hint="eastAsia" w:ascii="Times New Roman" w:hAnsi="Times New Roman" w:eastAsia="宋体"/>
          <w:color w:val="000000"/>
          <w:kern w:val="0"/>
          <w:sz w:val="24"/>
          <w:highlight w:val="none"/>
        </w:rPr>
        <w:t>情况</w:t>
      </w:r>
      <w:r>
        <w:rPr>
          <w:rFonts w:ascii="Times New Roman" w:hAnsi="Times New Roman" w:eastAsia="宋体"/>
          <w:color w:val="000000"/>
          <w:kern w:val="0"/>
          <w:sz w:val="24"/>
          <w:highlight w:val="none"/>
        </w:rPr>
        <w:t>，并确保</w:t>
      </w:r>
      <w:r>
        <w:rPr>
          <w:rFonts w:hint="eastAsia" w:ascii="Times New Roman" w:hAnsi="Times New Roman" w:eastAsia="宋体"/>
          <w:color w:val="000000"/>
          <w:kern w:val="0"/>
          <w:sz w:val="24"/>
          <w:highlight w:val="none"/>
        </w:rPr>
        <w:t>学生互评</w:t>
      </w:r>
      <w:r>
        <w:rPr>
          <w:rFonts w:ascii="Times New Roman" w:hAnsi="Times New Roman" w:eastAsia="宋体"/>
          <w:color w:val="000000"/>
          <w:kern w:val="0"/>
          <w:sz w:val="24"/>
          <w:highlight w:val="none"/>
        </w:rPr>
        <w:t>工作的公平、公正、合理</w:t>
      </w:r>
      <w:r>
        <w:rPr>
          <w:rFonts w:hint="eastAsia" w:ascii="Times New Roman" w:hAnsi="Times New Roman" w:eastAsia="宋体"/>
          <w:color w:val="000000"/>
          <w:kern w:val="0"/>
          <w:sz w:val="24"/>
          <w:highlight w:val="none"/>
        </w:rPr>
        <w:t>。学生互评计算公式如下：</w:t>
      </w:r>
    </w:p>
    <w:p>
      <w:pPr>
        <w:widowControl/>
        <w:shd w:val="clear" w:color="auto" w:fill="FFFFFF"/>
        <w:spacing w:line="420" w:lineRule="atLeast"/>
        <w:ind w:firstLine="480" w:firstLineChars="200"/>
        <w:jc w:val="center"/>
        <w:rPr>
          <w:rFonts w:ascii="Times New Roman" w:hAnsi="Times New Roman" w:eastAsia="宋体"/>
          <w:color w:val="000000"/>
          <w:kern w:val="0"/>
          <w:sz w:val="24"/>
          <w:highlight w:val="none"/>
        </w:rPr>
      </w:pPr>
      <w:r>
        <w:rPr>
          <w:rFonts w:hint="eastAsia" w:ascii="Times New Roman" w:hAnsi="Times New Roman" w:eastAsia="宋体"/>
          <w:color w:val="000000"/>
          <w:kern w:val="0"/>
          <w:sz w:val="24"/>
          <w:highlight w:val="none"/>
        </w:rPr>
        <w:t>学生互评=</w:t>
      </w:r>
      <m:oMath>
        <m:f>
          <m:fPr>
            <m:ctrlPr>
              <w:rPr>
                <w:rFonts w:ascii="Cambria Math" w:hAnsi="Cambria Math" w:eastAsia="宋体"/>
                <w:color w:val="000000"/>
                <w:kern w:val="0"/>
                <w:sz w:val="28"/>
                <w:highlight w:val="none"/>
              </w:rPr>
            </m:ctrlPr>
          </m:fPr>
          <m:num>
            <m:r>
              <m:rPr>
                <m:sty m:val="p"/>
              </m:rPr>
              <w:rPr>
                <w:rFonts w:ascii="Cambria Math" w:hAnsi="Cambria Math" w:eastAsia="宋体"/>
                <w:color w:val="000000"/>
                <w:kern w:val="0"/>
                <w:sz w:val="28"/>
                <w:highlight w:val="none"/>
              </w:rPr>
              <m:t>Σ</m:t>
            </m:r>
            <m:r>
              <m:rPr>
                <m:sty m:val="p"/>
              </m:rPr>
              <w:rPr>
                <w:rFonts w:hint="eastAsia" w:ascii="Cambria Math" w:hAnsi="Cambria Math" w:eastAsia="宋体"/>
                <w:color w:val="000000"/>
                <w:kern w:val="0"/>
                <w:sz w:val="28"/>
                <w:highlight w:val="none"/>
              </w:rPr>
              <m:t>赞同参评票数</m:t>
            </m:r>
            <m:r>
              <m:rPr>
                <m:sty m:val="p"/>
              </m:rPr>
              <w:rPr>
                <w:rFonts w:ascii="Cambria Math" w:hAnsi="Cambria Math" w:eastAsia="宋体"/>
                <w:color w:val="000000"/>
                <w:kern w:val="0"/>
                <w:sz w:val="28"/>
                <w:highlight w:val="none"/>
              </w:rPr>
              <m:t>−Σ</m:t>
            </m:r>
            <m:r>
              <m:rPr>
                <m:sty m:val="p"/>
              </m:rPr>
              <w:rPr>
                <w:rFonts w:hint="eastAsia" w:ascii="Cambria Math" w:hAnsi="Cambria Math" w:eastAsia="宋体"/>
                <w:color w:val="000000"/>
                <w:kern w:val="0"/>
                <w:sz w:val="28"/>
                <w:highlight w:val="none"/>
              </w:rPr>
              <m:t>反对参评票数</m:t>
            </m:r>
            <m:ctrlPr>
              <w:rPr>
                <w:rFonts w:ascii="Cambria Math" w:hAnsi="Cambria Math" w:eastAsia="宋体"/>
                <w:color w:val="000000"/>
                <w:kern w:val="0"/>
                <w:sz w:val="28"/>
                <w:highlight w:val="none"/>
              </w:rPr>
            </m:ctrlPr>
          </m:num>
          <m:den>
            <m:r>
              <m:rPr>
                <m:sty m:val="p"/>
              </m:rPr>
              <w:rPr>
                <w:rFonts w:hint="eastAsia" w:ascii="Cambria Math" w:hAnsi="Cambria Math" w:eastAsia="宋体"/>
                <w:color w:val="000000"/>
                <w:kern w:val="0"/>
                <w:sz w:val="28"/>
                <w:highlight w:val="none"/>
              </w:rPr>
              <m:t>班级总人数</m:t>
            </m:r>
            <m:ctrlPr>
              <w:rPr>
                <w:rFonts w:ascii="Cambria Math" w:hAnsi="Cambria Math" w:eastAsia="宋体"/>
                <w:color w:val="000000"/>
                <w:kern w:val="0"/>
                <w:sz w:val="28"/>
                <w:highlight w:val="none"/>
              </w:rPr>
            </m:ctrlPr>
          </m:den>
        </m:f>
        <m:r>
          <m:rPr>
            <m:sty m:val="p"/>
          </m:rPr>
          <w:rPr>
            <w:rFonts w:ascii="Cambria Math" w:hAnsi="Cambria Math" w:eastAsia="宋体"/>
            <w:color w:val="000000"/>
            <w:kern w:val="0"/>
            <w:sz w:val="28"/>
            <w:highlight w:val="none"/>
          </w:rPr>
          <m:t>×2</m:t>
        </m:r>
      </m:oMath>
    </w:p>
    <w:p>
      <w:pPr>
        <w:widowControl/>
        <w:shd w:val="clear" w:color="auto" w:fill="FFFFFF"/>
        <w:spacing w:line="420" w:lineRule="atLeast"/>
        <w:ind w:firstLine="480" w:firstLineChars="200"/>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1</w:t>
      </w:r>
      <w:r>
        <w:rPr>
          <w:rFonts w:hint="eastAsia" w:ascii="Times New Roman" w:hAnsi="Times New Roman" w:eastAsia="宋体"/>
          <w:color w:val="000000"/>
          <w:kern w:val="0"/>
          <w:sz w:val="24"/>
          <w:highlight w:val="none"/>
        </w:rPr>
        <w:t>分：青年大学习自第十季第六期开始，截止到研一结束，根据校团委反馈名单进行统计，学习参与率排名年级前3</w:t>
      </w:r>
      <w:r>
        <w:rPr>
          <w:rFonts w:ascii="Times New Roman" w:hAnsi="Times New Roman" w:eastAsia="宋体"/>
          <w:color w:val="000000"/>
          <w:kern w:val="0"/>
          <w:sz w:val="24"/>
          <w:highlight w:val="none"/>
        </w:rPr>
        <w:t>0%</w:t>
      </w:r>
      <w:r>
        <w:rPr>
          <w:rFonts w:hint="eastAsia" w:ascii="Times New Roman" w:hAnsi="Times New Roman" w:eastAsia="宋体"/>
          <w:color w:val="000000"/>
          <w:kern w:val="0"/>
          <w:sz w:val="24"/>
          <w:highlight w:val="none"/>
        </w:rPr>
        <w:t>可获得1分；其他排名不得分。</w:t>
      </w:r>
    </w:p>
    <w:p>
      <w:pPr>
        <w:widowControl/>
        <w:shd w:val="clear" w:color="auto" w:fill="FFFFFF"/>
        <w:spacing w:line="420" w:lineRule="atLeast"/>
        <w:ind w:firstLine="480" w:firstLineChars="200"/>
        <w:rPr>
          <w:rFonts w:ascii="Times New Roman" w:hAnsi="Times New Roman" w:eastAsia="宋体"/>
          <w:color w:val="000000"/>
          <w:kern w:val="0"/>
          <w:sz w:val="24"/>
          <w:highlight w:val="none"/>
        </w:rPr>
      </w:pPr>
      <w:r>
        <w:rPr>
          <w:rFonts w:hint="eastAsia" w:ascii="Times New Roman" w:hAnsi="Times New Roman" w:eastAsia="宋体"/>
          <w:color w:val="000000"/>
          <w:kern w:val="0"/>
          <w:sz w:val="24"/>
          <w:highlight w:val="none"/>
        </w:rPr>
        <w:t>基础评价计算公式如下：</w:t>
      </w:r>
    </w:p>
    <w:p>
      <w:pPr>
        <w:widowControl/>
        <w:shd w:val="clear" w:color="auto" w:fill="FFFFFF"/>
        <w:spacing w:line="420" w:lineRule="atLeast"/>
        <w:ind w:firstLine="643"/>
        <w:jc w:val="center"/>
        <w:rPr>
          <w:rFonts w:ascii="Times New Roman" w:hAnsi="Times New Roman" w:eastAsia="宋体"/>
          <w:kern w:val="0"/>
          <w:sz w:val="24"/>
          <w:highlight w:val="none"/>
        </w:rPr>
      </w:pPr>
      <w:r>
        <w:rPr>
          <w:rFonts w:hint="eastAsia" w:ascii="Times New Roman" w:hAnsi="Times New Roman" w:eastAsia="宋体"/>
          <w:kern w:val="0"/>
          <w:sz w:val="24"/>
          <w:highlight w:val="none"/>
        </w:rPr>
        <w:t>基础评价</w:t>
      </w:r>
      <w:r>
        <w:rPr>
          <w:rFonts w:ascii="Times New Roman" w:hAnsi="Times New Roman" w:eastAsia="宋体"/>
          <w:kern w:val="0"/>
          <w:sz w:val="24"/>
          <w:highlight w:val="none"/>
        </w:rPr>
        <w:t>=</w:t>
      </w:r>
      <w:r>
        <w:rPr>
          <w:rFonts w:hint="eastAsia" w:ascii="Times New Roman" w:hAnsi="Times New Roman" w:eastAsia="宋体"/>
          <w:kern w:val="0"/>
          <w:sz w:val="24"/>
          <w:highlight w:val="none"/>
        </w:rPr>
        <w:t>学生互评+大学习得分</w:t>
      </w:r>
    </w:p>
    <w:p>
      <w:pPr>
        <w:keepNext w:val="0"/>
        <w:keepLines w:val="0"/>
        <w:pageBreakBefore w:val="0"/>
        <w:widowControl/>
        <w:shd w:val="clear" w:color="auto" w:fill="FFFFFF"/>
        <w:kinsoku/>
        <w:wordWrap/>
        <w:overflowPunct/>
        <w:topLinePunct w:val="0"/>
        <w:autoSpaceDE/>
        <w:autoSpaceDN/>
        <w:bidi w:val="0"/>
        <w:spacing w:line="360" w:lineRule="auto"/>
        <w:textAlignment w:val="auto"/>
        <w:rPr>
          <w:rFonts w:ascii="Times New Roman" w:hAnsi="Times New Roman" w:eastAsia="宋体"/>
          <w:color w:val="000000"/>
          <w:kern w:val="0"/>
          <w:sz w:val="24"/>
          <w:highlight w:val="none"/>
        </w:rPr>
      </w:pPr>
      <w:r>
        <w:rPr>
          <w:rFonts w:hint="eastAsia" w:ascii="Times New Roman" w:hAnsi="Times New Roman" w:eastAsia="宋体"/>
          <w:color w:val="000000"/>
          <w:kern w:val="0"/>
          <w:sz w:val="24"/>
          <w:highlight w:val="none"/>
        </w:rPr>
        <w:t>（2</w:t>
      </w:r>
      <w:bookmarkStart w:id="3" w:name="OLE_LINK3"/>
      <w:bookmarkStart w:id="4" w:name="OLE_LINK4"/>
      <w:r>
        <w:rPr>
          <w:rFonts w:ascii="Times New Roman" w:hAnsi="Times New Roman" w:eastAsia="宋体"/>
          <w:color w:val="000000"/>
          <w:kern w:val="0"/>
          <w:sz w:val="24"/>
          <w:highlight w:val="none"/>
        </w:rPr>
        <w:t>）德育奖励</w:t>
      </w:r>
      <w:bookmarkEnd w:id="3"/>
      <w:bookmarkEnd w:id="4"/>
      <w:r>
        <w:rPr>
          <w:rFonts w:ascii="Times New Roman" w:hAnsi="Times New Roman" w:eastAsia="宋体"/>
          <w:color w:val="000000"/>
          <w:kern w:val="0"/>
          <w:sz w:val="24"/>
          <w:highlight w:val="none"/>
        </w:rPr>
        <w:t>及</w:t>
      </w:r>
      <w:r>
        <w:rPr>
          <w:rFonts w:hint="eastAsia" w:ascii="Times New Roman" w:hAnsi="Times New Roman" w:eastAsia="宋体"/>
          <w:color w:val="000000"/>
          <w:kern w:val="0"/>
          <w:sz w:val="24"/>
          <w:highlight w:val="none"/>
        </w:rPr>
        <w:t>特殊表现</w:t>
      </w:r>
      <w:r>
        <w:rPr>
          <w:rFonts w:ascii="Times New Roman" w:hAnsi="Times New Roman" w:eastAsia="宋体"/>
          <w:color w:val="000000"/>
          <w:kern w:val="0"/>
          <w:sz w:val="24"/>
          <w:highlight w:val="none"/>
        </w:rPr>
        <w:t>（满分2分）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具体加分奖项、加分分值如下</w:t>
      </w:r>
      <w:r>
        <w:rPr>
          <w:rFonts w:hint="eastAsia" w:ascii="Times New Roman" w:hAnsi="Times New Roman" w:eastAsia="宋体"/>
          <w:color w:val="000000"/>
          <w:kern w:val="0"/>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sz w:val="24"/>
          <w:highlight w:val="none"/>
        </w:rPr>
      </w:pPr>
      <w:r>
        <w:rPr>
          <w:rFonts w:ascii="Times New Roman" w:hAnsi="Times New Roman" w:eastAsia="宋体"/>
          <w:sz w:val="24"/>
          <w:highlight w:val="none"/>
        </w:rPr>
        <w:t>2分：国家级个人、集体荣誉奖励，省级个人荣誉奖励标兵</w:t>
      </w:r>
      <w:r>
        <w:rPr>
          <w:rFonts w:hint="eastAsia" w:ascii="Times New Roman" w:hAnsi="Times New Roman" w:eastAsia="宋体"/>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sz w:val="24"/>
          <w:highlight w:val="none"/>
        </w:rPr>
      </w:pPr>
      <w:r>
        <w:rPr>
          <w:rFonts w:ascii="Times New Roman" w:hAnsi="Times New Roman" w:eastAsia="宋体"/>
          <w:sz w:val="24"/>
          <w:highlight w:val="none"/>
        </w:rPr>
        <w:t>1.75分：省级个人荣誉奖励、省级集体荣誉奖励标兵</w:t>
      </w:r>
      <w:r>
        <w:rPr>
          <w:rFonts w:hint="eastAsia" w:ascii="Times New Roman" w:hAnsi="Times New Roman" w:eastAsia="宋体"/>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sz w:val="24"/>
          <w:highlight w:val="none"/>
        </w:rPr>
      </w:pPr>
      <w:r>
        <w:rPr>
          <w:rFonts w:hint="eastAsia" w:ascii="Times New Roman" w:hAnsi="Times New Roman" w:eastAsia="宋体"/>
          <w:sz w:val="24"/>
          <w:highlight w:val="none"/>
        </w:rPr>
        <w:t>1</w:t>
      </w:r>
      <w:r>
        <w:rPr>
          <w:rFonts w:ascii="Times New Roman" w:hAnsi="Times New Roman" w:eastAsia="宋体"/>
          <w:sz w:val="24"/>
          <w:highlight w:val="none"/>
        </w:rPr>
        <w:t>.5</w:t>
      </w:r>
      <w:r>
        <w:rPr>
          <w:rFonts w:hint="eastAsia" w:ascii="Times New Roman" w:hAnsi="Times New Roman" w:eastAsia="宋体"/>
          <w:sz w:val="24"/>
          <w:highlight w:val="none"/>
        </w:rPr>
        <w:t>分：</w:t>
      </w:r>
      <w:r>
        <w:rPr>
          <w:rFonts w:ascii="Times New Roman" w:hAnsi="Times New Roman" w:eastAsia="宋体"/>
          <w:sz w:val="24"/>
          <w:highlight w:val="none"/>
        </w:rPr>
        <w:t>校级个人荣誉奖励标兵</w:t>
      </w:r>
      <w:r>
        <w:rPr>
          <w:rFonts w:hint="eastAsia" w:ascii="Times New Roman" w:hAnsi="Times New Roman" w:eastAsia="宋体"/>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sz w:val="24"/>
          <w:highlight w:val="none"/>
        </w:rPr>
      </w:pPr>
      <w:r>
        <w:rPr>
          <w:rFonts w:hint="eastAsia" w:ascii="Times New Roman" w:hAnsi="Times New Roman" w:eastAsia="宋体"/>
          <w:sz w:val="24"/>
          <w:highlight w:val="none"/>
        </w:rPr>
        <w:t>1</w:t>
      </w:r>
      <w:r>
        <w:rPr>
          <w:rFonts w:ascii="Times New Roman" w:hAnsi="Times New Roman" w:eastAsia="宋体"/>
          <w:sz w:val="24"/>
          <w:highlight w:val="none"/>
        </w:rPr>
        <w:t>.25</w:t>
      </w:r>
      <w:r>
        <w:rPr>
          <w:rFonts w:hint="eastAsia" w:ascii="Times New Roman" w:hAnsi="Times New Roman" w:eastAsia="宋体"/>
          <w:sz w:val="24"/>
          <w:highlight w:val="none"/>
        </w:rPr>
        <w:t>分：</w:t>
      </w:r>
      <w:r>
        <w:rPr>
          <w:rFonts w:ascii="Times New Roman" w:hAnsi="Times New Roman" w:eastAsia="宋体"/>
          <w:sz w:val="24"/>
          <w:highlight w:val="none"/>
        </w:rPr>
        <w:t>省级集体荣誉奖励</w:t>
      </w:r>
      <w:r>
        <w:rPr>
          <w:rFonts w:hint="eastAsia" w:ascii="Times New Roman" w:hAnsi="Times New Roman" w:eastAsia="宋体"/>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Times New Roman" w:hAnsi="Times New Roman" w:eastAsia="宋体"/>
          <w:sz w:val="24"/>
          <w:highlight w:val="none"/>
        </w:rPr>
      </w:pPr>
      <w:r>
        <w:rPr>
          <w:rFonts w:hint="eastAsia" w:ascii="Times New Roman" w:hAnsi="Times New Roman" w:eastAsia="宋体"/>
          <w:sz w:val="24"/>
          <w:highlight w:val="none"/>
        </w:rPr>
        <w:t>1</w:t>
      </w:r>
      <w:r>
        <w:rPr>
          <w:rFonts w:ascii="Times New Roman" w:hAnsi="Times New Roman" w:eastAsia="宋体"/>
          <w:sz w:val="24"/>
          <w:highlight w:val="none"/>
        </w:rPr>
        <w:t xml:space="preserve">分：校级个人荣誉奖励、校级集体荣誉奖励标兵； </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Times New Roman" w:hAnsi="Times New Roman" w:eastAsia="宋体"/>
          <w:sz w:val="24"/>
          <w:highlight w:val="none"/>
        </w:rPr>
      </w:pPr>
      <w:r>
        <w:rPr>
          <w:rFonts w:ascii="Times New Roman" w:hAnsi="Times New Roman" w:eastAsia="宋体"/>
          <w:sz w:val="24"/>
          <w:highlight w:val="none"/>
        </w:rPr>
        <w:t xml:space="preserve">0.75分：校级集体荣誉奖励； </w:t>
      </w:r>
    </w:p>
    <w:p>
      <w:pPr>
        <w:adjustRightInd w:val="0"/>
        <w:snapToGrid w:val="0"/>
        <w:spacing w:line="360" w:lineRule="auto"/>
        <w:ind w:firstLine="480"/>
        <w:rPr>
          <w:rFonts w:ascii="Times New Roman" w:hAnsi="Times New Roman" w:eastAsia="宋体"/>
          <w:sz w:val="24"/>
          <w:highlight w:val="none"/>
        </w:rPr>
      </w:pPr>
      <w:r>
        <w:rPr>
          <w:rFonts w:hint="eastAsia" w:ascii="Times New Roman" w:hAnsi="Times New Roman" w:eastAsia="宋体"/>
          <w:sz w:val="24"/>
          <w:highlight w:val="none"/>
        </w:rPr>
        <w:t>0.5分：院级个人荣誉奖励。</w:t>
      </w:r>
    </w:p>
    <w:p>
      <w:pPr>
        <w:adjustRightInd w:val="0"/>
        <w:snapToGrid w:val="0"/>
        <w:spacing w:line="360" w:lineRule="auto"/>
        <w:ind w:firstLine="480"/>
        <w:rPr>
          <w:rFonts w:ascii="Times New Roman" w:hAnsi="Times New Roman" w:eastAsia="宋体"/>
          <w:sz w:val="24"/>
          <w:highlight w:val="none"/>
        </w:rPr>
      </w:pPr>
      <w:r>
        <w:rPr>
          <w:rFonts w:hint="eastAsia" w:ascii="Times New Roman" w:hAnsi="Times New Roman" w:eastAsia="宋体"/>
          <w:sz w:val="24"/>
          <w:highlight w:val="none"/>
        </w:rPr>
        <w:t>补充说明：在全校竞争类奖项中（如李昌奖、十佳英才、宝钢奖学金、春晖奖学金等需要到学校参加答辩评选的奖项），获得的个人荣誉奖励按照</w:t>
      </w:r>
      <w:r>
        <w:rPr>
          <w:rFonts w:ascii="Times New Roman" w:hAnsi="Times New Roman" w:eastAsia="宋体"/>
          <w:sz w:val="24"/>
          <w:highlight w:val="none"/>
        </w:rPr>
        <w:t>校级个人荣誉奖励标兵</w:t>
      </w:r>
      <w:r>
        <w:rPr>
          <w:rFonts w:hint="eastAsia" w:ascii="Times New Roman" w:hAnsi="Times New Roman" w:eastAsia="宋体"/>
          <w:sz w:val="24"/>
          <w:highlight w:val="none"/>
        </w:rPr>
        <w:t>进行加分，获得的集体荣誉奖励按照</w:t>
      </w:r>
      <w:r>
        <w:rPr>
          <w:rFonts w:ascii="Times New Roman" w:hAnsi="Times New Roman" w:eastAsia="宋体"/>
          <w:sz w:val="24"/>
          <w:highlight w:val="none"/>
        </w:rPr>
        <w:t>校级</w:t>
      </w:r>
      <w:r>
        <w:rPr>
          <w:rFonts w:hint="eastAsia" w:ascii="Times New Roman" w:hAnsi="Times New Roman" w:eastAsia="宋体"/>
          <w:sz w:val="24"/>
          <w:highlight w:val="none"/>
        </w:rPr>
        <w:t>集体</w:t>
      </w:r>
      <w:r>
        <w:rPr>
          <w:rFonts w:ascii="Times New Roman" w:hAnsi="Times New Roman" w:eastAsia="宋体"/>
          <w:sz w:val="24"/>
          <w:highlight w:val="none"/>
        </w:rPr>
        <w:t>荣誉奖励标兵</w:t>
      </w:r>
      <w:r>
        <w:rPr>
          <w:rFonts w:hint="eastAsia" w:ascii="Times New Roman" w:hAnsi="Times New Roman" w:eastAsia="宋体"/>
          <w:sz w:val="24"/>
          <w:highlight w:val="none"/>
        </w:rPr>
        <w:t>进行加分。</w:t>
      </w:r>
    </w:p>
    <w:p>
      <w:pPr>
        <w:adjustRightInd w:val="0"/>
        <w:snapToGrid w:val="0"/>
        <w:spacing w:line="360" w:lineRule="auto"/>
        <w:ind w:firstLine="480"/>
        <w:rPr>
          <w:rFonts w:ascii="Times New Roman" w:hAnsi="Times New Roman" w:eastAsia="宋体"/>
          <w:sz w:val="24"/>
          <w:highlight w:val="none"/>
        </w:rPr>
      </w:pPr>
      <w:r>
        <w:rPr>
          <w:rFonts w:ascii="Times New Roman" w:hAnsi="Times New Roman" w:eastAsia="宋体"/>
          <w:bCs/>
          <w:sz w:val="24"/>
          <w:highlight w:val="none"/>
        </w:rPr>
        <w:t>特殊表现：</w:t>
      </w:r>
      <w:r>
        <w:rPr>
          <w:rFonts w:ascii="Times New Roman" w:hAnsi="Times New Roman" w:eastAsia="宋体"/>
          <w:sz w:val="24"/>
          <w:highlight w:val="none"/>
        </w:rPr>
        <w:t>对有见义勇为、拾金不昧等表现，或在某方面做出突出贡献，并引起一定校园、社会反响的学生进行适当加分。此项加分由评委会审议确定结果。德育奖励与特殊表现合并计分，两项总分不超过2分。</w:t>
      </w:r>
    </w:p>
    <w:p>
      <w:pPr>
        <w:widowControl/>
        <w:shd w:val="clear" w:color="auto" w:fill="FFFFFF"/>
        <w:spacing w:line="420" w:lineRule="atLeast"/>
        <w:rPr>
          <w:rFonts w:ascii="Times New Roman" w:hAnsi="Times New Roman" w:eastAsia="宋体"/>
          <w:color w:val="000000"/>
          <w:kern w:val="0"/>
          <w:sz w:val="24"/>
          <w:highlight w:val="none"/>
        </w:rPr>
      </w:pPr>
      <w:r>
        <w:rPr>
          <w:rFonts w:hint="eastAsia" w:ascii="Times New Roman" w:hAnsi="Times New Roman" w:eastAsia="宋体"/>
          <w:color w:val="000000"/>
          <w:kern w:val="0"/>
          <w:sz w:val="24"/>
          <w:highlight w:val="none"/>
        </w:rPr>
        <w:t>4、科技竞赛加分（满分5分）</w:t>
      </w:r>
    </w:p>
    <w:p>
      <w:pPr>
        <w:widowControl/>
        <w:shd w:val="clear" w:color="auto" w:fill="FFFFFF"/>
        <w:spacing w:after="240" w:line="420" w:lineRule="atLeast"/>
        <w:ind w:firstLine="480" w:firstLineChars="200"/>
        <w:rPr>
          <w:rFonts w:ascii="Times New Roman" w:hAnsi="Times New Roman" w:eastAsia="宋体"/>
          <w:color w:val="000000"/>
          <w:kern w:val="0"/>
          <w:sz w:val="24"/>
          <w:highlight w:val="none"/>
        </w:rPr>
      </w:pPr>
      <w:r>
        <w:rPr>
          <w:rFonts w:hint="eastAsia" w:ascii="Times New Roman" w:hAnsi="Times New Roman" w:eastAsia="宋体"/>
          <w:color w:val="000000"/>
          <w:kern w:val="0"/>
          <w:sz w:val="24"/>
          <w:highlight w:val="none"/>
        </w:rPr>
        <w:t>研究生在校期间参加科技竞赛获奖予以相应加分，科技竞赛加分可累加，</w:t>
      </w:r>
      <w:r>
        <w:rPr>
          <w:rFonts w:ascii="Times New Roman" w:hAnsi="Times New Roman" w:eastAsia="宋体"/>
          <w:color w:val="000000"/>
          <w:kern w:val="0"/>
          <w:sz w:val="24"/>
          <w:highlight w:val="none"/>
        </w:rPr>
        <w:t>具体加分奖项、加分分值如下</w:t>
      </w:r>
      <w:r>
        <w:rPr>
          <w:rFonts w:hint="eastAsia" w:ascii="Times New Roman" w:hAnsi="Times New Roman" w:eastAsia="宋体"/>
          <w:color w:val="000000"/>
          <w:kern w:val="0"/>
          <w:sz w:val="24"/>
          <w:highlight w:val="none"/>
        </w:rPr>
        <w:t>：</w:t>
      </w:r>
    </w:p>
    <w:p>
      <w:pPr>
        <w:adjustRightInd w:val="0"/>
        <w:snapToGrid w:val="0"/>
        <w:spacing w:line="360" w:lineRule="auto"/>
        <w:ind w:firstLine="480" w:firstLineChars="200"/>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5分：</w:t>
      </w:r>
      <w:r>
        <w:rPr>
          <w:rFonts w:hint="eastAsia" w:ascii="Times New Roman" w:hAnsi="Times New Roman" w:eastAsia="宋体"/>
          <w:color w:val="000000"/>
          <w:kern w:val="0"/>
          <w:sz w:val="24"/>
          <w:highlight w:val="none"/>
        </w:rPr>
        <w:t>科技竞赛</w:t>
      </w:r>
      <w:r>
        <w:rPr>
          <w:rFonts w:ascii="Times New Roman" w:hAnsi="Times New Roman" w:eastAsia="宋体"/>
          <w:color w:val="000000"/>
          <w:kern w:val="0"/>
          <w:sz w:val="24"/>
          <w:highlight w:val="none"/>
        </w:rPr>
        <w:t>国家级一等奖</w:t>
      </w:r>
      <w:r>
        <w:rPr>
          <w:rFonts w:hint="eastAsia" w:ascii="Times New Roman" w:hAnsi="Times New Roman" w:eastAsia="宋体"/>
          <w:color w:val="000000"/>
          <w:kern w:val="0"/>
          <w:sz w:val="24"/>
          <w:highlight w:val="none"/>
        </w:rPr>
        <w:t>；</w:t>
      </w:r>
    </w:p>
    <w:p>
      <w:pPr>
        <w:adjustRightInd w:val="0"/>
        <w:snapToGrid w:val="0"/>
        <w:spacing w:line="360" w:lineRule="auto"/>
        <w:ind w:firstLine="480" w:firstLineChars="200"/>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4分：科技竞赛国家级二等奖，省级一等奖</w:t>
      </w:r>
      <w:r>
        <w:rPr>
          <w:rFonts w:hint="eastAsia" w:ascii="Times New Roman" w:hAnsi="Times New Roman" w:eastAsia="宋体"/>
          <w:color w:val="000000"/>
          <w:kern w:val="0"/>
          <w:sz w:val="24"/>
          <w:highlight w:val="none"/>
        </w:rPr>
        <w:t>；</w:t>
      </w:r>
    </w:p>
    <w:p>
      <w:pPr>
        <w:adjustRightInd w:val="0"/>
        <w:snapToGrid w:val="0"/>
        <w:spacing w:line="360" w:lineRule="auto"/>
        <w:ind w:firstLine="480"/>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3分：科技竞赛国家级</w:t>
      </w:r>
      <w:r>
        <w:rPr>
          <w:rFonts w:hint="eastAsia" w:ascii="Times New Roman" w:hAnsi="Times New Roman" w:eastAsia="宋体"/>
          <w:color w:val="000000"/>
          <w:kern w:val="0"/>
          <w:sz w:val="24"/>
          <w:highlight w:val="none"/>
        </w:rPr>
        <w:t>三</w:t>
      </w:r>
      <w:r>
        <w:rPr>
          <w:rFonts w:ascii="Times New Roman" w:hAnsi="Times New Roman" w:eastAsia="宋体"/>
          <w:color w:val="000000"/>
          <w:kern w:val="0"/>
          <w:sz w:val="24"/>
          <w:highlight w:val="none"/>
        </w:rPr>
        <w:t>等奖</w:t>
      </w:r>
      <w:r>
        <w:rPr>
          <w:rFonts w:hint="eastAsia" w:ascii="Times New Roman" w:hAnsi="Times New Roman" w:eastAsia="宋体"/>
          <w:color w:val="000000"/>
          <w:kern w:val="0"/>
          <w:sz w:val="24"/>
          <w:highlight w:val="none"/>
        </w:rPr>
        <w:t>，</w:t>
      </w:r>
      <w:r>
        <w:rPr>
          <w:rFonts w:ascii="Times New Roman" w:hAnsi="Times New Roman" w:eastAsia="宋体"/>
          <w:color w:val="000000"/>
          <w:kern w:val="0"/>
          <w:sz w:val="24"/>
          <w:highlight w:val="none"/>
        </w:rPr>
        <w:t>省级二等奖，校级一等奖</w:t>
      </w:r>
      <w:r>
        <w:rPr>
          <w:rFonts w:hint="eastAsia" w:ascii="Times New Roman" w:hAnsi="Times New Roman" w:eastAsia="宋体"/>
          <w:color w:val="000000"/>
          <w:kern w:val="0"/>
          <w:sz w:val="24"/>
          <w:highlight w:val="none"/>
        </w:rPr>
        <w:t>；</w:t>
      </w:r>
    </w:p>
    <w:p>
      <w:pPr>
        <w:adjustRightInd w:val="0"/>
        <w:snapToGrid w:val="0"/>
        <w:spacing w:line="360" w:lineRule="auto"/>
        <w:ind w:firstLine="480"/>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2分：科技竞赛省级</w:t>
      </w:r>
      <w:r>
        <w:rPr>
          <w:rFonts w:hint="eastAsia" w:ascii="Times New Roman" w:hAnsi="Times New Roman" w:eastAsia="宋体"/>
          <w:color w:val="000000"/>
          <w:kern w:val="0"/>
          <w:sz w:val="24"/>
          <w:highlight w:val="none"/>
        </w:rPr>
        <w:t>三</w:t>
      </w:r>
      <w:r>
        <w:rPr>
          <w:rFonts w:ascii="Times New Roman" w:hAnsi="Times New Roman" w:eastAsia="宋体"/>
          <w:color w:val="000000"/>
          <w:kern w:val="0"/>
          <w:sz w:val="24"/>
          <w:highlight w:val="none"/>
        </w:rPr>
        <w:t>等奖</w:t>
      </w:r>
      <w:r>
        <w:rPr>
          <w:rFonts w:hint="eastAsia" w:ascii="Times New Roman" w:hAnsi="Times New Roman" w:eastAsia="宋体"/>
          <w:color w:val="000000"/>
          <w:kern w:val="0"/>
          <w:sz w:val="24"/>
          <w:highlight w:val="none"/>
        </w:rPr>
        <w:t>，</w:t>
      </w:r>
      <w:r>
        <w:rPr>
          <w:rFonts w:ascii="Times New Roman" w:hAnsi="Times New Roman" w:eastAsia="宋体"/>
          <w:color w:val="000000"/>
          <w:kern w:val="0"/>
          <w:sz w:val="24"/>
          <w:highlight w:val="none"/>
        </w:rPr>
        <w:t>校级二等奖</w:t>
      </w:r>
      <w:r>
        <w:rPr>
          <w:rFonts w:hint="eastAsia" w:ascii="Times New Roman" w:hAnsi="Times New Roman" w:eastAsia="宋体"/>
          <w:color w:val="000000"/>
          <w:kern w:val="0"/>
          <w:sz w:val="24"/>
          <w:highlight w:val="none"/>
        </w:rPr>
        <w:t>；</w:t>
      </w:r>
    </w:p>
    <w:p>
      <w:pPr>
        <w:adjustRightInd w:val="0"/>
        <w:snapToGrid w:val="0"/>
        <w:spacing w:line="360" w:lineRule="auto"/>
        <w:ind w:firstLine="480"/>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1</w:t>
      </w:r>
      <w:r>
        <w:rPr>
          <w:rFonts w:hint="eastAsia" w:ascii="Times New Roman" w:hAnsi="Times New Roman" w:eastAsia="宋体"/>
          <w:color w:val="000000"/>
          <w:kern w:val="0"/>
          <w:sz w:val="24"/>
          <w:highlight w:val="none"/>
        </w:rPr>
        <w:t>分：</w:t>
      </w:r>
      <w:r>
        <w:rPr>
          <w:rFonts w:ascii="Times New Roman" w:hAnsi="Times New Roman" w:eastAsia="宋体"/>
          <w:color w:val="000000"/>
          <w:kern w:val="0"/>
          <w:sz w:val="24"/>
          <w:highlight w:val="none"/>
        </w:rPr>
        <w:t>科技竞赛校级</w:t>
      </w:r>
      <w:r>
        <w:rPr>
          <w:rFonts w:hint="eastAsia" w:ascii="Times New Roman" w:hAnsi="Times New Roman" w:eastAsia="宋体"/>
          <w:color w:val="000000"/>
          <w:kern w:val="0"/>
          <w:sz w:val="24"/>
          <w:highlight w:val="none"/>
        </w:rPr>
        <w:t>三</w:t>
      </w:r>
      <w:r>
        <w:rPr>
          <w:rFonts w:ascii="Times New Roman" w:hAnsi="Times New Roman" w:eastAsia="宋体"/>
          <w:color w:val="000000"/>
          <w:kern w:val="0"/>
          <w:sz w:val="24"/>
          <w:highlight w:val="none"/>
        </w:rPr>
        <w:t>等奖</w:t>
      </w:r>
      <w:r>
        <w:rPr>
          <w:rFonts w:hint="eastAsia" w:ascii="Times New Roman" w:hAnsi="Times New Roman" w:eastAsia="宋体"/>
          <w:color w:val="000000"/>
          <w:kern w:val="0"/>
          <w:sz w:val="24"/>
          <w:highlight w:val="none"/>
        </w:rPr>
        <w:t>。</w:t>
      </w:r>
    </w:p>
    <w:p>
      <w:pPr>
        <w:keepNext w:val="0"/>
        <w:keepLines w:val="0"/>
        <w:pageBreakBefore w:val="0"/>
        <w:kinsoku/>
        <w:wordWrap/>
        <w:overflowPunct/>
        <w:topLinePunct w:val="0"/>
        <w:autoSpaceDE/>
        <w:autoSpaceDN/>
        <w:bidi w:val="0"/>
        <w:adjustRightInd w:val="0"/>
        <w:snapToGrid w:val="0"/>
        <w:spacing w:line="276" w:lineRule="auto"/>
        <w:textAlignment w:val="auto"/>
        <w:rPr>
          <w:rFonts w:ascii="Times New Roman" w:hAnsi="Times New Roman" w:eastAsia="宋体"/>
          <w:bCs/>
          <w:color w:val="000000"/>
          <w:kern w:val="0"/>
          <w:sz w:val="22"/>
          <w:szCs w:val="22"/>
          <w:highlight w:val="none"/>
        </w:rPr>
      </w:pPr>
      <w:r>
        <w:rPr>
          <w:rFonts w:ascii="Times New Roman" w:hAnsi="Times New Roman" w:eastAsia="宋体"/>
          <w:b/>
          <w:bCs/>
          <w:color w:val="000000"/>
          <w:kern w:val="0"/>
          <w:sz w:val="22"/>
          <w:szCs w:val="22"/>
          <w:highlight w:val="none"/>
        </w:rPr>
        <w:t>注</w:t>
      </w:r>
      <w:r>
        <w:rPr>
          <w:rFonts w:ascii="Times New Roman" w:hAnsi="Times New Roman" w:eastAsia="宋体"/>
          <w:bCs/>
          <w:color w:val="000000"/>
          <w:kern w:val="0"/>
          <w:sz w:val="22"/>
          <w:szCs w:val="22"/>
          <w:highlight w:val="none"/>
        </w:rPr>
        <w:t>：</w:t>
      </w:r>
    </w:p>
    <w:p>
      <w:pPr>
        <w:keepNext w:val="0"/>
        <w:keepLines w:val="0"/>
        <w:pageBreakBefore w:val="0"/>
        <w:kinsoku/>
        <w:wordWrap/>
        <w:overflowPunct/>
        <w:topLinePunct w:val="0"/>
        <w:autoSpaceDE/>
        <w:autoSpaceDN/>
        <w:bidi w:val="0"/>
        <w:adjustRightInd w:val="0"/>
        <w:snapToGrid w:val="0"/>
        <w:spacing w:line="276" w:lineRule="auto"/>
        <w:textAlignment w:val="auto"/>
        <w:rPr>
          <w:rFonts w:ascii="Times New Roman" w:hAnsi="Times New Roman" w:eastAsia="宋体"/>
          <w:bCs/>
          <w:color w:val="000000"/>
          <w:kern w:val="0"/>
          <w:sz w:val="22"/>
          <w:szCs w:val="22"/>
          <w:highlight w:val="none"/>
        </w:rPr>
      </w:pPr>
      <w:r>
        <w:rPr>
          <w:rFonts w:ascii="Times New Roman" w:hAnsi="Times New Roman" w:eastAsia="宋体"/>
          <w:bCs/>
          <w:color w:val="000000"/>
          <w:kern w:val="0"/>
          <w:sz w:val="22"/>
          <w:szCs w:val="22"/>
          <w:highlight w:val="none"/>
        </w:rPr>
        <w:t>1）能源学院2020年研究生国家奖学金评定时参考的各级竞赛项目，依据《哈尔滨工业大学大学生科技竞赛活动管理办法》进行相关认定</w:t>
      </w:r>
      <w:r>
        <w:rPr>
          <w:rFonts w:hint="eastAsia" w:ascii="Times New Roman" w:hAnsi="Times New Roman" w:eastAsia="宋体"/>
          <w:bCs/>
          <w:color w:val="000000"/>
          <w:kern w:val="0"/>
          <w:sz w:val="22"/>
          <w:szCs w:val="22"/>
          <w:highlight w:val="none"/>
        </w:rPr>
        <w:t>；</w:t>
      </w:r>
    </w:p>
    <w:p>
      <w:pPr>
        <w:keepNext w:val="0"/>
        <w:keepLines w:val="0"/>
        <w:pageBreakBefore w:val="0"/>
        <w:widowControl/>
        <w:shd w:val="clear" w:color="auto" w:fill="FFFFFF"/>
        <w:kinsoku/>
        <w:wordWrap/>
        <w:overflowPunct/>
        <w:topLinePunct w:val="0"/>
        <w:autoSpaceDE/>
        <w:autoSpaceDN/>
        <w:bidi w:val="0"/>
        <w:spacing w:line="276" w:lineRule="auto"/>
        <w:textAlignment w:val="auto"/>
        <w:rPr>
          <w:rFonts w:ascii="Times New Roman" w:hAnsi="Times New Roman" w:eastAsia="宋体"/>
          <w:bCs/>
          <w:color w:val="000000"/>
          <w:kern w:val="0"/>
          <w:sz w:val="22"/>
          <w:szCs w:val="22"/>
          <w:highlight w:val="none"/>
        </w:rPr>
      </w:pPr>
      <w:r>
        <w:rPr>
          <w:rFonts w:hint="eastAsia" w:ascii="Times New Roman" w:hAnsi="Times New Roman" w:eastAsia="宋体"/>
          <w:bCs/>
          <w:color w:val="000000"/>
          <w:kern w:val="0"/>
          <w:sz w:val="22"/>
          <w:szCs w:val="22"/>
          <w:highlight w:val="none"/>
        </w:rPr>
        <w:t>2）</w:t>
      </w:r>
      <w:r>
        <w:rPr>
          <w:rFonts w:ascii="Times New Roman" w:hAnsi="Times New Roman" w:eastAsia="宋体"/>
          <w:bCs/>
          <w:color w:val="000000"/>
          <w:kern w:val="0"/>
          <w:sz w:val="22"/>
          <w:szCs w:val="22"/>
          <w:highlight w:val="none"/>
        </w:rPr>
        <w:t>科技竞赛</w:t>
      </w:r>
      <w:r>
        <w:rPr>
          <w:rFonts w:hint="eastAsia" w:ascii="Times New Roman" w:hAnsi="Times New Roman" w:eastAsia="宋体"/>
          <w:bCs/>
          <w:color w:val="000000"/>
          <w:kern w:val="0"/>
          <w:sz w:val="22"/>
          <w:szCs w:val="22"/>
          <w:highlight w:val="none"/>
        </w:rPr>
        <w:t>取前三</w:t>
      </w:r>
      <w:r>
        <w:rPr>
          <w:rFonts w:ascii="Times New Roman" w:hAnsi="Times New Roman" w:eastAsia="宋体"/>
          <w:bCs/>
          <w:color w:val="000000"/>
          <w:kern w:val="0"/>
          <w:sz w:val="22"/>
          <w:szCs w:val="22"/>
          <w:highlight w:val="none"/>
        </w:rPr>
        <w:t>完成人</w:t>
      </w:r>
      <w:r>
        <w:rPr>
          <w:rFonts w:hint="eastAsia" w:ascii="Times New Roman" w:hAnsi="Times New Roman" w:eastAsia="宋体"/>
          <w:bCs/>
          <w:color w:val="000000"/>
          <w:kern w:val="0"/>
          <w:sz w:val="22"/>
          <w:szCs w:val="22"/>
          <w:highlight w:val="none"/>
        </w:rPr>
        <w:t>，其中第一完成人按此表加分，第二完成人减少1分，第三完成人减少2分，此项加分递减至零分为止；</w:t>
      </w:r>
    </w:p>
    <w:p>
      <w:pPr>
        <w:keepNext w:val="0"/>
        <w:keepLines w:val="0"/>
        <w:pageBreakBefore w:val="0"/>
        <w:widowControl/>
        <w:shd w:val="clear" w:color="auto" w:fill="FFFFFF"/>
        <w:kinsoku/>
        <w:wordWrap/>
        <w:overflowPunct/>
        <w:topLinePunct w:val="0"/>
        <w:autoSpaceDE/>
        <w:autoSpaceDN/>
        <w:bidi w:val="0"/>
        <w:spacing w:line="276" w:lineRule="auto"/>
        <w:textAlignment w:val="auto"/>
        <w:rPr>
          <w:rFonts w:ascii="Times New Roman" w:hAnsi="Times New Roman" w:eastAsia="宋体"/>
          <w:bCs/>
          <w:color w:val="000000"/>
          <w:kern w:val="0"/>
          <w:sz w:val="22"/>
          <w:szCs w:val="22"/>
          <w:highlight w:val="none"/>
        </w:rPr>
      </w:pPr>
      <w:r>
        <w:rPr>
          <w:rFonts w:ascii="Times New Roman" w:hAnsi="Times New Roman" w:eastAsia="宋体"/>
          <w:bCs/>
          <w:color w:val="000000"/>
          <w:kern w:val="0"/>
          <w:sz w:val="22"/>
          <w:szCs w:val="22"/>
          <w:highlight w:val="none"/>
        </w:rPr>
        <w:t>3）需提供荣誉证书复印件。</w:t>
      </w:r>
    </w:p>
    <w:p>
      <w:pPr>
        <w:keepNext w:val="0"/>
        <w:keepLines w:val="0"/>
        <w:pageBreakBefore w:val="0"/>
        <w:widowControl/>
        <w:shd w:val="clear" w:color="auto" w:fill="FFFFFF"/>
        <w:kinsoku/>
        <w:wordWrap/>
        <w:overflowPunct/>
        <w:topLinePunct w:val="0"/>
        <w:autoSpaceDE/>
        <w:autoSpaceDN/>
        <w:bidi w:val="0"/>
        <w:spacing w:line="276" w:lineRule="auto"/>
        <w:textAlignment w:val="auto"/>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5</w:t>
      </w:r>
      <w:r>
        <w:rPr>
          <w:rFonts w:hint="eastAsia" w:ascii="Times New Roman" w:hAnsi="Times New Roman" w:eastAsia="宋体"/>
          <w:color w:val="000000"/>
          <w:kern w:val="0"/>
          <w:sz w:val="24"/>
          <w:highlight w:val="none"/>
        </w:rPr>
        <w:t>、学术加分</w:t>
      </w:r>
    </w:p>
    <w:p>
      <w:pPr>
        <w:keepNext w:val="0"/>
        <w:keepLines w:val="0"/>
        <w:pageBreakBefore w:val="0"/>
        <w:widowControl/>
        <w:shd w:val="clear" w:color="auto" w:fill="FFFFFF"/>
        <w:kinsoku/>
        <w:wordWrap/>
        <w:overflowPunct/>
        <w:topLinePunct w:val="0"/>
        <w:autoSpaceDE/>
        <w:autoSpaceDN/>
        <w:bidi w:val="0"/>
        <w:spacing w:after="240" w:line="276" w:lineRule="auto"/>
        <w:ind w:firstLine="480" w:firstLineChars="200"/>
        <w:textAlignment w:val="auto"/>
        <w:rPr>
          <w:rFonts w:ascii="Times New Roman" w:hAnsi="Times New Roman" w:eastAsia="宋体"/>
          <w:color w:val="000000"/>
          <w:kern w:val="0"/>
          <w:sz w:val="24"/>
          <w:highlight w:val="none"/>
        </w:rPr>
      </w:pPr>
      <w:r>
        <w:rPr>
          <w:rFonts w:hint="eastAsia" w:ascii="Times New Roman" w:hAnsi="Times New Roman" w:eastAsia="宋体"/>
          <w:color w:val="000000"/>
          <w:kern w:val="0"/>
          <w:sz w:val="24"/>
          <w:highlight w:val="none"/>
        </w:rPr>
        <w:t>研究生在校期间，在国际、国内各类学术期刊发表论文以及获得专利和软件著作权等，予以相应加分，可累计加分。加分分值见下表：</w:t>
      </w:r>
    </w:p>
    <w:p>
      <w:pPr>
        <w:widowControl/>
        <w:numPr>
          <w:ilvl w:val="0"/>
          <w:numId w:val="1"/>
        </w:numPr>
        <w:shd w:val="clear" w:color="auto" w:fill="FFFFFF"/>
        <w:spacing w:after="240" w:line="420" w:lineRule="atLeast"/>
        <w:rPr>
          <w:rFonts w:ascii="Times New Roman" w:hAnsi="Times New Roman" w:eastAsia="宋体"/>
          <w:color w:val="000000"/>
          <w:kern w:val="0"/>
          <w:sz w:val="24"/>
          <w:highlight w:val="none"/>
        </w:rPr>
      </w:pPr>
      <w:r>
        <w:rPr>
          <w:rFonts w:hint="eastAsia" w:ascii="Times New Roman" w:hAnsi="Times New Roman" w:eastAsia="宋体"/>
          <w:color w:val="000000"/>
          <w:kern w:val="0"/>
          <w:sz w:val="24"/>
          <w:highlight w:val="none"/>
        </w:rPr>
        <w:t>论文加分</w:t>
      </w:r>
    </w:p>
    <w:tbl>
      <w:tblPr>
        <w:tblStyle w:val="7"/>
        <w:tblW w:w="8018" w:type="dxa"/>
        <w:jc w:val="center"/>
        <w:tblLayout w:type="autofit"/>
        <w:tblCellMar>
          <w:top w:w="0" w:type="dxa"/>
          <w:left w:w="0" w:type="dxa"/>
          <w:bottom w:w="0" w:type="dxa"/>
          <w:right w:w="0" w:type="dxa"/>
        </w:tblCellMar>
      </w:tblPr>
      <w:tblGrid>
        <w:gridCol w:w="1188"/>
        <w:gridCol w:w="1359"/>
        <w:gridCol w:w="1306"/>
        <w:gridCol w:w="1440"/>
        <w:gridCol w:w="1440"/>
        <w:gridCol w:w="1285"/>
      </w:tblGrid>
      <w:tr>
        <w:tblPrEx>
          <w:tblCellMar>
            <w:top w:w="0" w:type="dxa"/>
            <w:left w:w="0" w:type="dxa"/>
            <w:bottom w:w="0" w:type="dxa"/>
            <w:right w:w="0" w:type="dxa"/>
          </w:tblCellMar>
        </w:tblPrEx>
        <w:trPr>
          <w:trHeight w:val="90" w:hRule="atLeast"/>
          <w:jc w:val="center"/>
        </w:trPr>
        <w:tc>
          <w:tcPr>
            <w:tcW w:w="8018" w:type="dxa"/>
            <w:gridSpan w:val="6"/>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SCI</w:t>
            </w:r>
            <w:r>
              <w:rPr>
                <w:rFonts w:hint="eastAsia" w:ascii="Times New Roman" w:hAnsi="Times New Roman" w:eastAsia="宋体"/>
                <w:kern w:val="0"/>
                <w:szCs w:val="21"/>
                <w:highlight w:val="none"/>
              </w:rPr>
              <w:t>顶级期刊</w:t>
            </w:r>
          </w:p>
        </w:tc>
      </w:tr>
      <w:tr>
        <w:tblPrEx>
          <w:tblCellMar>
            <w:top w:w="0" w:type="dxa"/>
            <w:left w:w="0" w:type="dxa"/>
            <w:bottom w:w="0" w:type="dxa"/>
            <w:right w:w="0" w:type="dxa"/>
          </w:tblCellMar>
        </w:tblPrEx>
        <w:trPr>
          <w:trHeight w:val="397" w:hRule="atLeast"/>
          <w:jc w:val="center"/>
        </w:trPr>
        <w:tc>
          <w:tcPr>
            <w:tcW w:w="118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第一作者</w:t>
            </w:r>
          </w:p>
        </w:tc>
        <w:tc>
          <w:tcPr>
            <w:tcW w:w="1359"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hint="eastAsia" w:ascii="Times New Roman" w:hAnsi="Times New Roman" w:eastAsia="宋体"/>
                <w:kern w:val="0"/>
                <w:szCs w:val="21"/>
                <w:highlight w:val="none"/>
              </w:rPr>
              <w:t>10</w:t>
            </w:r>
            <w:r>
              <w:rPr>
                <w:rFonts w:ascii="Times New Roman" w:hAnsi="Times New Roman" w:eastAsia="宋体"/>
                <w:kern w:val="0"/>
                <w:szCs w:val="21"/>
                <w:highlight w:val="none"/>
              </w:rPr>
              <w:t>分</w:t>
            </w:r>
          </w:p>
        </w:tc>
        <w:tc>
          <w:tcPr>
            <w:tcW w:w="13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第二作者</w:t>
            </w:r>
          </w:p>
        </w:tc>
        <w:tc>
          <w:tcPr>
            <w:tcW w:w="1440"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hint="eastAsia" w:ascii="Times New Roman" w:hAnsi="Times New Roman" w:eastAsia="宋体"/>
                <w:kern w:val="0"/>
                <w:szCs w:val="21"/>
                <w:highlight w:val="none"/>
              </w:rPr>
              <w:t>5</w:t>
            </w:r>
            <w:r>
              <w:rPr>
                <w:rFonts w:ascii="Times New Roman" w:hAnsi="Times New Roman" w:eastAsia="宋体"/>
                <w:kern w:val="0"/>
                <w:szCs w:val="21"/>
                <w:highlight w:val="none"/>
              </w:rPr>
              <w:t>分</w:t>
            </w:r>
          </w:p>
        </w:tc>
        <w:tc>
          <w:tcPr>
            <w:tcW w:w="1440"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hint="eastAsia" w:ascii="Times New Roman" w:hAnsi="Times New Roman" w:eastAsia="宋体"/>
                <w:kern w:val="0"/>
                <w:szCs w:val="21"/>
                <w:highlight w:val="none"/>
              </w:rPr>
              <w:t>其他</w:t>
            </w:r>
            <w:r>
              <w:rPr>
                <w:rFonts w:ascii="Times New Roman" w:hAnsi="Times New Roman" w:eastAsia="宋体"/>
                <w:kern w:val="0"/>
                <w:szCs w:val="21"/>
                <w:highlight w:val="none"/>
              </w:rPr>
              <w:t>作者</w:t>
            </w:r>
          </w:p>
        </w:tc>
        <w:tc>
          <w:tcPr>
            <w:tcW w:w="1285"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hint="eastAsia" w:ascii="Times New Roman" w:hAnsi="Times New Roman" w:eastAsia="宋体"/>
                <w:kern w:val="0"/>
                <w:szCs w:val="21"/>
                <w:highlight w:val="none"/>
              </w:rPr>
              <w:t>2</w:t>
            </w:r>
            <w:r>
              <w:rPr>
                <w:rFonts w:ascii="Times New Roman" w:hAnsi="Times New Roman" w:eastAsia="宋体"/>
                <w:kern w:val="0"/>
                <w:szCs w:val="21"/>
                <w:highlight w:val="none"/>
              </w:rPr>
              <w:t>分</w:t>
            </w:r>
          </w:p>
        </w:tc>
      </w:tr>
      <w:tr>
        <w:tblPrEx>
          <w:tblCellMar>
            <w:top w:w="0" w:type="dxa"/>
            <w:left w:w="0" w:type="dxa"/>
            <w:bottom w:w="0" w:type="dxa"/>
            <w:right w:w="0" w:type="dxa"/>
          </w:tblCellMar>
        </w:tblPrEx>
        <w:trPr>
          <w:trHeight w:val="375" w:hRule="atLeast"/>
          <w:jc w:val="center"/>
        </w:trPr>
        <w:tc>
          <w:tcPr>
            <w:tcW w:w="8018" w:type="dxa"/>
            <w:gridSpan w:val="6"/>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SCI</w:t>
            </w:r>
            <w:r>
              <w:rPr>
                <w:rFonts w:hint="eastAsia" w:ascii="Times New Roman" w:hAnsi="Times New Roman" w:eastAsia="宋体"/>
                <w:kern w:val="0"/>
                <w:szCs w:val="21"/>
                <w:highlight w:val="none"/>
              </w:rPr>
              <w:t>知名期刊</w:t>
            </w:r>
            <w:r>
              <w:rPr>
                <w:rFonts w:hint="eastAsia" w:ascii="Times New Roman" w:hAnsi="Times New Roman" w:eastAsia="宋体"/>
                <w:kern w:val="0"/>
                <w:sz w:val="22"/>
                <w:szCs w:val="22"/>
                <w:highlight w:val="none"/>
              </w:rPr>
              <w:t>、</w:t>
            </w:r>
            <w:r>
              <w:rPr>
                <w:rFonts w:hint="eastAsia" w:ascii="Times New Roman" w:hAnsi="Times New Roman" w:eastAsia="宋体"/>
                <w:color w:val="000000" w:themeColor="text1"/>
                <w:kern w:val="0"/>
                <w:sz w:val="22"/>
                <w:szCs w:val="22"/>
                <w:highlight w:val="none"/>
                <w14:textFill>
                  <w14:solidFill>
                    <w14:schemeClr w14:val="tx1"/>
                  </w14:solidFill>
                </w14:textFill>
              </w:rPr>
              <w:t>动力工程及工程热物理学科业界公认的国际顶级或重要科技期刊</w:t>
            </w:r>
          </w:p>
        </w:tc>
      </w:tr>
      <w:tr>
        <w:tblPrEx>
          <w:tblCellMar>
            <w:top w:w="0" w:type="dxa"/>
            <w:left w:w="0" w:type="dxa"/>
            <w:bottom w:w="0" w:type="dxa"/>
            <w:right w:w="0" w:type="dxa"/>
          </w:tblCellMar>
        </w:tblPrEx>
        <w:trPr>
          <w:trHeight w:val="375" w:hRule="atLeast"/>
          <w:jc w:val="center"/>
        </w:trPr>
        <w:tc>
          <w:tcPr>
            <w:tcW w:w="118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第一作者</w:t>
            </w:r>
          </w:p>
        </w:tc>
        <w:tc>
          <w:tcPr>
            <w:tcW w:w="1359"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hint="eastAsia" w:ascii="Times New Roman" w:hAnsi="Times New Roman" w:eastAsia="宋体"/>
                <w:kern w:val="0"/>
                <w:szCs w:val="21"/>
                <w:highlight w:val="none"/>
              </w:rPr>
              <w:t>6</w:t>
            </w:r>
            <w:r>
              <w:rPr>
                <w:rFonts w:ascii="Times New Roman" w:hAnsi="Times New Roman" w:eastAsia="宋体"/>
                <w:kern w:val="0"/>
                <w:szCs w:val="21"/>
                <w:highlight w:val="none"/>
              </w:rPr>
              <w:t>分</w:t>
            </w:r>
          </w:p>
        </w:tc>
        <w:tc>
          <w:tcPr>
            <w:tcW w:w="13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第二作者</w:t>
            </w:r>
          </w:p>
        </w:tc>
        <w:tc>
          <w:tcPr>
            <w:tcW w:w="4165" w:type="dxa"/>
            <w:gridSpan w:val="3"/>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hint="eastAsia" w:ascii="Times New Roman" w:hAnsi="Times New Roman" w:eastAsia="宋体"/>
                <w:kern w:val="0"/>
                <w:szCs w:val="21"/>
                <w:highlight w:val="none"/>
              </w:rPr>
              <w:t>3</w:t>
            </w:r>
            <w:r>
              <w:rPr>
                <w:rFonts w:ascii="Times New Roman" w:hAnsi="Times New Roman" w:eastAsia="宋体"/>
                <w:kern w:val="0"/>
                <w:szCs w:val="21"/>
                <w:highlight w:val="none"/>
              </w:rPr>
              <w:t>分</w:t>
            </w:r>
          </w:p>
        </w:tc>
      </w:tr>
      <w:tr>
        <w:tblPrEx>
          <w:tblCellMar>
            <w:top w:w="0" w:type="dxa"/>
            <w:left w:w="0" w:type="dxa"/>
            <w:bottom w:w="0" w:type="dxa"/>
            <w:right w:w="0" w:type="dxa"/>
          </w:tblCellMar>
        </w:tblPrEx>
        <w:trPr>
          <w:trHeight w:val="375" w:hRule="atLeast"/>
          <w:jc w:val="center"/>
        </w:trPr>
        <w:tc>
          <w:tcPr>
            <w:tcW w:w="8018" w:type="dxa"/>
            <w:gridSpan w:val="6"/>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SCI</w:t>
            </w:r>
            <w:r>
              <w:rPr>
                <w:rFonts w:hint="eastAsia" w:ascii="Times New Roman" w:hAnsi="Times New Roman" w:eastAsia="宋体"/>
                <w:kern w:val="0"/>
                <w:szCs w:val="21"/>
                <w:highlight w:val="none"/>
              </w:rPr>
              <w:t>论文、重要国内综合类期刊</w:t>
            </w:r>
          </w:p>
        </w:tc>
      </w:tr>
      <w:tr>
        <w:tblPrEx>
          <w:tblCellMar>
            <w:top w:w="0" w:type="dxa"/>
            <w:left w:w="0" w:type="dxa"/>
            <w:bottom w:w="0" w:type="dxa"/>
            <w:right w:w="0" w:type="dxa"/>
          </w:tblCellMar>
        </w:tblPrEx>
        <w:trPr>
          <w:trHeight w:val="375" w:hRule="atLeast"/>
          <w:jc w:val="center"/>
        </w:trPr>
        <w:tc>
          <w:tcPr>
            <w:tcW w:w="118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第一作者</w:t>
            </w:r>
          </w:p>
        </w:tc>
        <w:tc>
          <w:tcPr>
            <w:tcW w:w="1359"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hint="eastAsia" w:ascii="Times New Roman" w:hAnsi="Times New Roman" w:eastAsia="宋体"/>
                <w:kern w:val="0"/>
                <w:szCs w:val="21"/>
                <w:highlight w:val="none"/>
              </w:rPr>
              <w:t>3</w:t>
            </w:r>
            <w:r>
              <w:rPr>
                <w:rFonts w:ascii="Times New Roman" w:hAnsi="Times New Roman" w:eastAsia="宋体"/>
                <w:kern w:val="0"/>
                <w:szCs w:val="21"/>
                <w:highlight w:val="none"/>
              </w:rPr>
              <w:t>分</w:t>
            </w:r>
          </w:p>
        </w:tc>
        <w:tc>
          <w:tcPr>
            <w:tcW w:w="13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第二作者</w:t>
            </w:r>
          </w:p>
        </w:tc>
        <w:tc>
          <w:tcPr>
            <w:tcW w:w="4165" w:type="dxa"/>
            <w:gridSpan w:val="3"/>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hint="eastAsia" w:ascii="Times New Roman" w:hAnsi="Times New Roman" w:eastAsia="宋体"/>
                <w:kern w:val="0"/>
                <w:szCs w:val="21"/>
                <w:highlight w:val="none"/>
              </w:rPr>
              <w:t>1.5</w:t>
            </w:r>
            <w:r>
              <w:rPr>
                <w:rFonts w:ascii="Times New Roman" w:hAnsi="Times New Roman" w:eastAsia="宋体"/>
                <w:kern w:val="0"/>
                <w:szCs w:val="21"/>
                <w:highlight w:val="none"/>
              </w:rPr>
              <w:t>分</w:t>
            </w:r>
          </w:p>
        </w:tc>
      </w:tr>
      <w:tr>
        <w:tblPrEx>
          <w:tblCellMar>
            <w:top w:w="0" w:type="dxa"/>
            <w:left w:w="0" w:type="dxa"/>
            <w:bottom w:w="0" w:type="dxa"/>
            <w:right w:w="0" w:type="dxa"/>
          </w:tblCellMar>
        </w:tblPrEx>
        <w:trPr>
          <w:trHeight w:val="375" w:hRule="atLeast"/>
          <w:jc w:val="center"/>
        </w:trPr>
        <w:tc>
          <w:tcPr>
            <w:tcW w:w="8018" w:type="dxa"/>
            <w:gridSpan w:val="6"/>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hint="eastAsia" w:ascii="Times New Roman" w:hAnsi="Times New Roman" w:eastAsia="宋体"/>
                <w:kern w:val="0"/>
                <w:szCs w:val="21"/>
                <w:highlight w:val="none"/>
              </w:rPr>
              <w:t>EI期刊论文、本学科重要</w:t>
            </w:r>
            <w:r>
              <w:rPr>
                <w:rFonts w:ascii="Times New Roman" w:hAnsi="Times New Roman" w:eastAsia="宋体"/>
                <w:kern w:val="0"/>
                <w:szCs w:val="21"/>
                <w:highlight w:val="none"/>
              </w:rPr>
              <w:t>国内一级刊物</w:t>
            </w:r>
          </w:p>
        </w:tc>
      </w:tr>
      <w:tr>
        <w:tblPrEx>
          <w:tblCellMar>
            <w:top w:w="0" w:type="dxa"/>
            <w:left w:w="0" w:type="dxa"/>
            <w:bottom w:w="0" w:type="dxa"/>
            <w:right w:w="0" w:type="dxa"/>
          </w:tblCellMar>
        </w:tblPrEx>
        <w:trPr>
          <w:trHeight w:val="375" w:hRule="atLeast"/>
          <w:jc w:val="center"/>
        </w:trPr>
        <w:tc>
          <w:tcPr>
            <w:tcW w:w="118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第一作者</w:t>
            </w:r>
          </w:p>
        </w:tc>
        <w:tc>
          <w:tcPr>
            <w:tcW w:w="1359"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2分</w:t>
            </w:r>
          </w:p>
        </w:tc>
        <w:tc>
          <w:tcPr>
            <w:tcW w:w="13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第二作者</w:t>
            </w:r>
          </w:p>
        </w:tc>
        <w:tc>
          <w:tcPr>
            <w:tcW w:w="4165" w:type="dxa"/>
            <w:gridSpan w:val="3"/>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1分</w:t>
            </w:r>
          </w:p>
        </w:tc>
      </w:tr>
      <w:tr>
        <w:tblPrEx>
          <w:tblCellMar>
            <w:top w:w="0" w:type="dxa"/>
            <w:left w:w="0" w:type="dxa"/>
            <w:bottom w:w="0" w:type="dxa"/>
            <w:right w:w="0" w:type="dxa"/>
          </w:tblCellMar>
        </w:tblPrEx>
        <w:trPr>
          <w:trHeight w:val="375" w:hRule="atLeast"/>
          <w:jc w:val="center"/>
        </w:trPr>
        <w:tc>
          <w:tcPr>
            <w:tcW w:w="8018" w:type="dxa"/>
            <w:gridSpan w:val="6"/>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国内核心刊物</w:t>
            </w:r>
            <w:r>
              <w:rPr>
                <w:rFonts w:hint="eastAsia" w:ascii="Times New Roman" w:hAnsi="Times New Roman" w:eastAsia="宋体"/>
                <w:kern w:val="0"/>
                <w:szCs w:val="21"/>
                <w:highlight w:val="none"/>
              </w:rPr>
              <w:t>、</w:t>
            </w:r>
            <w:r>
              <w:rPr>
                <w:rFonts w:ascii="Times New Roman" w:hAnsi="Times New Roman" w:eastAsia="宋体"/>
                <w:kern w:val="0"/>
                <w:szCs w:val="21"/>
                <w:highlight w:val="none"/>
              </w:rPr>
              <w:t>国际会议</w:t>
            </w:r>
            <w:r>
              <w:rPr>
                <w:rFonts w:hint="eastAsia" w:ascii="Times New Roman" w:hAnsi="Times New Roman" w:eastAsia="宋体"/>
                <w:kern w:val="0"/>
                <w:szCs w:val="21"/>
                <w:highlight w:val="none"/>
              </w:rPr>
              <w:t>（包括EI收录）</w:t>
            </w:r>
          </w:p>
        </w:tc>
      </w:tr>
      <w:tr>
        <w:tblPrEx>
          <w:tblCellMar>
            <w:top w:w="0" w:type="dxa"/>
            <w:left w:w="0" w:type="dxa"/>
            <w:bottom w:w="0" w:type="dxa"/>
            <w:right w:w="0" w:type="dxa"/>
          </w:tblCellMar>
        </w:tblPrEx>
        <w:trPr>
          <w:trHeight w:val="375" w:hRule="atLeast"/>
          <w:jc w:val="center"/>
        </w:trPr>
        <w:tc>
          <w:tcPr>
            <w:tcW w:w="118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第一作者</w:t>
            </w:r>
          </w:p>
        </w:tc>
        <w:tc>
          <w:tcPr>
            <w:tcW w:w="1359"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1.5分</w:t>
            </w:r>
          </w:p>
        </w:tc>
        <w:tc>
          <w:tcPr>
            <w:tcW w:w="13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第二作者</w:t>
            </w:r>
          </w:p>
        </w:tc>
        <w:tc>
          <w:tcPr>
            <w:tcW w:w="4165" w:type="dxa"/>
            <w:gridSpan w:val="3"/>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0.7分</w:t>
            </w:r>
          </w:p>
        </w:tc>
      </w:tr>
      <w:tr>
        <w:tblPrEx>
          <w:tblCellMar>
            <w:top w:w="0" w:type="dxa"/>
            <w:left w:w="0" w:type="dxa"/>
            <w:bottom w:w="0" w:type="dxa"/>
            <w:right w:w="0" w:type="dxa"/>
          </w:tblCellMar>
        </w:tblPrEx>
        <w:trPr>
          <w:trHeight w:val="375" w:hRule="atLeast"/>
          <w:jc w:val="center"/>
        </w:trPr>
        <w:tc>
          <w:tcPr>
            <w:tcW w:w="8018" w:type="dxa"/>
            <w:gridSpan w:val="6"/>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国内会议</w:t>
            </w:r>
          </w:p>
        </w:tc>
      </w:tr>
      <w:tr>
        <w:tblPrEx>
          <w:tblCellMar>
            <w:top w:w="0" w:type="dxa"/>
            <w:left w:w="0" w:type="dxa"/>
            <w:bottom w:w="0" w:type="dxa"/>
            <w:right w:w="0" w:type="dxa"/>
          </w:tblCellMar>
        </w:tblPrEx>
        <w:trPr>
          <w:trHeight w:val="375" w:hRule="atLeast"/>
          <w:jc w:val="center"/>
        </w:trPr>
        <w:tc>
          <w:tcPr>
            <w:tcW w:w="118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第一作者</w:t>
            </w:r>
          </w:p>
        </w:tc>
        <w:tc>
          <w:tcPr>
            <w:tcW w:w="1359"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1分</w:t>
            </w:r>
          </w:p>
        </w:tc>
        <w:tc>
          <w:tcPr>
            <w:tcW w:w="13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第二作者</w:t>
            </w:r>
          </w:p>
        </w:tc>
        <w:tc>
          <w:tcPr>
            <w:tcW w:w="4165" w:type="dxa"/>
            <w:gridSpan w:val="3"/>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0.5分</w:t>
            </w:r>
          </w:p>
        </w:tc>
      </w:tr>
      <w:tr>
        <w:tblPrEx>
          <w:tblCellMar>
            <w:top w:w="0" w:type="dxa"/>
            <w:left w:w="0" w:type="dxa"/>
            <w:bottom w:w="0" w:type="dxa"/>
            <w:right w:w="0" w:type="dxa"/>
          </w:tblCellMar>
        </w:tblPrEx>
        <w:trPr>
          <w:trHeight w:val="375" w:hRule="atLeast"/>
          <w:jc w:val="center"/>
        </w:trPr>
        <w:tc>
          <w:tcPr>
            <w:tcW w:w="8018" w:type="dxa"/>
            <w:gridSpan w:val="6"/>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能源学院学术争鸣活动及21世纪热能动力学生学术研讨会（累计最多1分）</w:t>
            </w:r>
          </w:p>
        </w:tc>
      </w:tr>
      <w:tr>
        <w:tblPrEx>
          <w:tblCellMar>
            <w:top w:w="0" w:type="dxa"/>
            <w:left w:w="0" w:type="dxa"/>
            <w:bottom w:w="0" w:type="dxa"/>
            <w:right w:w="0" w:type="dxa"/>
          </w:tblCellMar>
        </w:tblPrEx>
        <w:trPr>
          <w:trHeight w:val="375" w:hRule="atLeast"/>
          <w:jc w:val="center"/>
        </w:trPr>
        <w:tc>
          <w:tcPr>
            <w:tcW w:w="3853"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优秀录用论文（第一作者）</w:t>
            </w:r>
          </w:p>
        </w:tc>
        <w:tc>
          <w:tcPr>
            <w:tcW w:w="4165" w:type="dxa"/>
            <w:gridSpan w:val="3"/>
            <w:tcBorders>
              <w:top w:val="single" w:color="000000" w:sz="6" w:space="0"/>
              <w:left w:val="nil"/>
              <w:bottom w:val="single" w:color="000000" w:sz="6" w:space="0"/>
              <w:right w:val="single" w:color="000000" w:sz="6" w:space="0"/>
            </w:tcBorders>
            <w:tcMar>
              <w:top w:w="0" w:type="dxa"/>
              <w:left w:w="105" w:type="dxa"/>
              <w:bottom w:w="0" w:type="dxa"/>
              <w:right w:w="105" w:type="dxa"/>
            </w:tcMa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0.5分/篇</w:t>
            </w:r>
          </w:p>
        </w:tc>
      </w:tr>
      <w:tr>
        <w:tblPrEx>
          <w:tblCellMar>
            <w:top w:w="0" w:type="dxa"/>
            <w:left w:w="0" w:type="dxa"/>
            <w:bottom w:w="0" w:type="dxa"/>
            <w:right w:w="0" w:type="dxa"/>
          </w:tblCellMar>
        </w:tblPrEx>
        <w:trPr>
          <w:trHeight w:val="435" w:hRule="atLeast"/>
          <w:jc w:val="center"/>
        </w:trPr>
        <w:tc>
          <w:tcPr>
            <w:tcW w:w="3853"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普通录用论文（第一作者）</w:t>
            </w:r>
          </w:p>
        </w:tc>
        <w:tc>
          <w:tcPr>
            <w:tcW w:w="4165"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4"/>
                <w:highlight w:val="none"/>
              </w:rPr>
            </w:pPr>
            <w:r>
              <w:rPr>
                <w:rFonts w:ascii="Times New Roman" w:hAnsi="Times New Roman" w:eastAsia="宋体"/>
                <w:kern w:val="0"/>
                <w:szCs w:val="21"/>
                <w:highlight w:val="none"/>
              </w:rPr>
              <w:t>0.2分/篇（累计最多2篇）</w:t>
            </w:r>
          </w:p>
        </w:tc>
      </w:tr>
    </w:tbl>
    <w:p>
      <w:pPr>
        <w:adjustRightInd w:val="0"/>
        <w:snapToGrid w:val="0"/>
        <w:spacing w:line="420" w:lineRule="atLeast"/>
        <w:rPr>
          <w:rFonts w:ascii="Times New Roman" w:hAnsi="Times New Roman" w:eastAsia="宋体"/>
          <w:b/>
          <w:bCs/>
          <w:color w:val="000000"/>
          <w:kern w:val="0"/>
          <w:sz w:val="22"/>
          <w:szCs w:val="22"/>
          <w:highlight w:val="none"/>
        </w:rPr>
      </w:pPr>
      <w:r>
        <w:rPr>
          <w:rFonts w:ascii="Times New Roman" w:hAnsi="Times New Roman" w:eastAsia="宋体"/>
          <w:b/>
          <w:bCs/>
          <w:color w:val="000000"/>
          <w:kern w:val="0"/>
          <w:sz w:val="22"/>
          <w:szCs w:val="22"/>
          <w:highlight w:val="none"/>
        </w:rPr>
        <w:t>注：</w:t>
      </w:r>
    </w:p>
    <w:p>
      <w:pPr>
        <w:keepNext w:val="0"/>
        <w:keepLines w:val="0"/>
        <w:pageBreakBefore w:val="0"/>
        <w:widowControl/>
        <w:kinsoku/>
        <w:wordWrap/>
        <w:overflowPunct/>
        <w:topLinePunct w:val="0"/>
        <w:autoSpaceDE/>
        <w:autoSpaceDN/>
        <w:bidi w:val="0"/>
        <w:adjustRightInd/>
        <w:snapToGrid/>
        <w:spacing w:before="240" w:line="276" w:lineRule="auto"/>
        <w:textAlignment w:val="auto"/>
        <w:rPr>
          <w:rFonts w:ascii="Times New Roman" w:hAnsi="Times New Roman" w:eastAsia="宋体"/>
          <w:bCs/>
          <w:kern w:val="0"/>
          <w:sz w:val="22"/>
          <w:szCs w:val="22"/>
          <w:highlight w:val="none"/>
        </w:rPr>
      </w:pPr>
      <w:r>
        <w:rPr>
          <w:rFonts w:ascii="Times New Roman" w:hAnsi="Times New Roman" w:eastAsia="宋体"/>
          <w:bCs/>
          <w:kern w:val="0"/>
          <w:sz w:val="22"/>
          <w:szCs w:val="22"/>
          <w:highlight w:val="none"/>
        </w:rPr>
        <w:t>1）可获得加分的文章需满足以下条件：必须与课题或研究生教育相关；第一作者及第一作者通信地址为哈尔滨工业大学；作者署名里面必须有自己的导师或</w:t>
      </w:r>
      <w:r>
        <w:rPr>
          <w:rFonts w:hint="eastAsia" w:ascii="Times New Roman" w:hAnsi="Times New Roman" w:eastAsia="宋体"/>
          <w:bCs/>
          <w:kern w:val="0"/>
          <w:sz w:val="22"/>
          <w:szCs w:val="22"/>
          <w:highlight w:val="none"/>
        </w:rPr>
        <w:t>副导师</w:t>
      </w:r>
      <w:r>
        <w:rPr>
          <w:rFonts w:ascii="Times New Roman" w:hAnsi="Times New Roman" w:eastAsia="宋体"/>
          <w:bCs/>
          <w:kern w:val="0"/>
          <w:sz w:val="22"/>
          <w:szCs w:val="22"/>
          <w:highlight w:val="none"/>
        </w:rPr>
        <w:t>。</w:t>
      </w:r>
    </w:p>
    <w:p>
      <w:pPr>
        <w:keepNext w:val="0"/>
        <w:keepLines w:val="0"/>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bCs/>
          <w:kern w:val="0"/>
          <w:sz w:val="22"/>
          <w:szCs w:val="22"/>
          <w:highlight w:val="none"/>
        </w:rPr>
      </w:pPr>
      <w:r>
        <w:rPr>
          <w:rFonts w:ascii="Times New Roman" w:hAnsi="Times New Roman" w:eastAsia="宋体"/>
          <w:bCs/>
          <w:kern w:val="0"/>
          <w:sz w:val="22"/>
          <w:szCs w:val="22"/>
          <w:highlight w:val="none"/>
        </w:rPr>
        <w:t>2）硕士研究生发表学术论文，只统计前两名作者，如果学生为第二作者，其导师为第一作者时，按第一作者计算，其余情况按正常排序。</w:t>
      </w:r>
    </w:p>
    <w:p>
      <w:pPr>
        <w:keepNext w:val="0"/>
        <w:keepLines w:val="0"/>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bCs/>
          <w:kern w:val="0"/>
          <w:sz w:val="22"/>
          <w:szCs w:val="22"/>
          <w:highlight w:val="none"/>
        </w:rPr>
      </w:pPr>
      <w:r>
        <w:rPr>
          <w:rFonts w:ascii="Times New Roman" w:hAnsi="Times New Roman" w:eastAsia="宋体"/>
          <w:bCs/>
          <w:kern w:val="0"/>
          <w:sz w:val="22"/>
          <w:szCs w:val="22"/>
          <w:highlight w:val="none"/>
        </w:rPr>
        <w:t>3）从研究生入学至奖学金评定截止日期之间的成果为有效成果，可获得加分。论文以实际发表日期为准。对已录用还未发表的论文，需提供确认录用的证明，且须有通讯作者的手</w:t>
      </w:r>
      <w:r>
        <w:rPr>
          <w:rFonts w:hint="eastAsia" w:ascii="Times New Roman" w:hAnsi="Times New Roman" w:eastAsia="宋体"/>
          <w:bCs/>
          <w:kern w:val="0"/>
          <w:sz w:val="22"/>
          <w:szCs w:val="22"/>
          <w:highlight w:val="none"/>
        </w:rPr>
        <w:t>写</w:t>
      </w:r>
      <w:r>
        <w:rPr>
          <w:rFonts w:ascii="Times New Roman" w:hAnsi="Times New Roman" w:eastAsia="宋体"/>
          <w:bCs/>
          <w:kern w:val="0"/>
          <w:sz w:val="22"/>
          <w:szCs w:val="22"/>
          <w:highlight w:val="none"/>
        </w:rPr>
        <w:t>签名。对这些论文，学院会定期核查确定该论文的正式发表情况，如最终未发表，将追求相关责任。</w:t>
      </w:r>
      <w:r>
        <w:rPr>
          <w:rFonts w:hint="eastAsia" w:ascii="Times New Roman" w:hAnsi="Times New Roman" w:eastAsia="宋体"/>
          <w:bCs/>
          <w:kern w:val="0"/>
          <w:sz w:val="22"/>
          <w:szCs w:val="22"/>
          <w:highlight w:val="none"/>
        </w:rPr>
        <w:t>对于会议论文，要求全文录用，除提供正式的收录证明，还需要网络版全文，全文网址等信息。</w:t>
      </w:r>
    </w:p>
    <w:p>
      <w:pPr>
        <w:keepNext w:val="0"/>
        <w:keepLines w:val="0"/>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bCs/>
          <w:kern w:val="0"/>
          <w:sz w:val="22"/>
          <w:szCs w:val="22"/>
          <w:highlight w:val="none"/>
        </w:rPr>
      </w:pPr>
      <w:r>
        <w:rPr>
          <w:rFonts w:ascii="Times New Roman" w:hAnsi="Times New Roman" w:eastAsia="宋体"/>
          <w:bCs/>
          <w:kern w:val="0"/>
          <w:sz w:val="22"/>
          <w:szCs w:val="22"/>
          <w:highlight w:val="none"/>
        </w:rPr>
        <w:t>4）对于论文分级，须提供佐证材料（如论文检索证明、期刊分类等）。</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宋体"/>
          <w:bCs/>
          <w:kern w:val="0"/>
          <w:sz w:val="22"/>
          <w:szCs w:val="22"/>
          <w:highlight w:val="none"/>
        </w:rPr>
      </w:pPr>
      <w:r>
        <w:rPr>
          <w:rFonts w:ascii="Times New Roman" w:hAnsi="Times New Roman" w:eastAsia="宋体"/>
          <w:bCs/>
          <w:kern w:val="0"/>
          <w:sz w:val="22"/>
          <w:szCs w:val="22"/>
          <w:highlight w:val="none"/>
        </w:rPr>
        <w:t>5）所有论文需提供论文首页或者录用证明</w:t>
      </w:r>
      <w:r>
        <w:rPr>
          <w:rFonts w:hint="eastAsia" w:ascii="Times New Roman" w:hAnsi="Times New Roman" w:eastAsia="宋体"/>
          <w:bCs/>
          <w:kern w:val="0"/>
          <w:sz w:val="22"/>
          <w:szCs w:val="22"/>
          <w:highlight w:val="none"/>
        </w:rPr>
        <w:t>，并由指导老师</w:t>
      </w:r>
      <w:r>
        <w:rPr>
          <w:rFonts w:ascii="Times New Roman" w:hAnsi="Times New Roman" w:eastAsia="宋体"/>
          <w:bCs/>
          <w:kern w:val="0"/>
          <w:sz w:val="22"/>
          <w:szCs w:val="22"/>
          <w:highlight w:val="none"/>
        </w:rPr>
        <w:t>手</w:t>
      </w:r>
      <w:r>
        <w:rPr>
          <w:rFonts w:hint="eastAsia" w:ascii="Times New Roman" w:hAnsi="Times New Roman" w:eastAsia="宋体"/>
          <w:bCs/>
          <w:kern w:val="0"/>
          <w:sz w:val="22"/>
          <w:szCs w:val="22"/>
          <w:highlight w:val="none"/>
        </w:rPr>
        <w:t>写</w:t>
      </w:r>
      <w:r>
        <w:rPr>
          <w:rFonts w:ascii="Times New Roman" w:hAnsi="Times New Roman" w:eastAsia="宋体"/>
          <w:bCs/>
          <w:kern w:val="0"/>
          <w:sz w:val="22"/>
          <w:szCs w:val="22"/>
          <w:highlight w:val="none"/>
        </w:rPr>
        <w:t>签名</w:t>
      </w:r>
      <w:r>
        <w:rPr>
          <w:rFonts w:hint="eastAsia" w:ascii="Times New Roman" w:hAnsi="Times New Roman" w:eastAsia="宋体"/>
          <w:bCs/>
          <w:kern w:val="0"/>
          <w:sz w:val="22"/>
          <w:szCs w:val="22"/>
          <w:highlight w:val="none"/>
        </w:rPr>
        <w:t>。</w:t>
      </w:r>
    </w:p>
    <w:p>
      <w:pPr>
        <w:keepNext w:val="0"/>
        <w:keepLines w:val="0"/>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bCs/>
          <w:kern w:val="0"/>
          <w:sz w:val="22"/>
          <w:szCs w:val="22"/>
          <w:highlight w:val="none"/>
        </w:rPr>
      </w:pPr>
      <w:r>
        <w:rPr>
          <w:rFonts w:ascii="Times New Roman" w:hAnsi="Times New Roman" w:eastAsia="宋体"/>
          <w:bCs/>
          <w:kern w:val="0"/>
          <w:sz w:val="22"/>
          <w:szCs w:val="22"/>
          <w:highlight w:val="none"/>
        </w:rPr>
        <w:t>6）此次国奖评选中出现文章署名共同第一作者计算分数问题，本年度计算方法如下：只有</w:t>
      </w:r>
      <w:r>
        <w:rPr>
          <w:rFonts w:ascii="Times New Roman" w:hAnsi="Times New Roman" w:eastAsia="宋体"/>
          <w:kern w:val="0"/>
          <w:sz w:val="22"/>
          <w:szCs w:val="22"/>
          <w:highlight w:val="none"/>
        </w:rPr>
        <w:t>SCI顶级期刊和SCI知名期刊论文才考虑共同第一作者，</w:t>
      </w:r>
      <w:r>
        <w:rPr>
          <w:rFonts w:ascii="Times New Roman" w:hAnsi="Times New Roman" w:eastAsia="宋体"/>
          <w:bCs/>
          <w:kern w:val="0"/>
          <w:sz w:val="22"/>
          <w:szCs w:val="22"/>
          <w:highlight w:val="none"/>
        </w:rPr>
        <w:t>共同第一作者中排名第二的乘以系数0.6计算分数，共同第一作者中其它排名乘以系数0.3计算分数。对于其它论文，共同第一作者排名第二认定为等同于第二作者。</w:t>
      </w:r>
    </w:p>
    <w:p>
      <w:pPr>
        <w:keepNext w:val="0"/>
        <w:keepLines w:val="0"/>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color w:val="000000" w:themeColor="text1"/>
          <w:kern w:val="0"/>
          <w:sz w:val="22"/>
          <w:szCs w:val="22"/>
          <w:highlight w:val="none"/>
          <w14:textFill>
            <w14:solidFill>
              <w14:schemeClr w14:val="tx1"/>
            </w14:solidFill>
          </w14:textFill>
        </w:rPr>
      </w:pPr>
      <w:r>
        <w:rPr>
          <w:rFonts w:ascii="Times New Roman" w:hAnsi="Times New Roman" w:eastAsia="宋体"/>
          <w:bCs/>
          <w:kern w:val="0"/>
          <w:sz w:val="22"/>
          <w:szCs w:val="22"/>
          <w:highlight w:val="none"/>
        </w:rPr>
        <w:t>7）</w:t>
      </w:r>
      <w:r>
        <w:rPr>
          <w:rFonts w:ascii="Times New Roman" w:hAnsi="Times New Roman" w:eastAsia="宋体"/>
          <w:kern w:val="0"/>
          <w:sz w:val="22"/>
          <w:szCs w:val="22"/>
          <w:highlight w:val="none"/>
        </w:rPr>
        <w:t>SCI顶级期刊包括：Nature (含子刊)、Science（含子刊）、Proceedings of the National Academy of Sciences of the United States of America、Physical Review Letters、Journal of the American Chemical Society、Angewandte Chemie International Editio</w:t>
      </w:r>
      <w:r>
        <w:rPr>
          <w:rFonts w:ascii="Times New Roman" w:hAnsi="Times New Roman" w:eastAsia="宋体"/>
          <w:color w:val="000000" w:themeColor="text1"/>
          <w:kern w:val="0"/>
          <w:sz w:val="22"/>
          <w:szCs w:val="22"/>
          <w:highlight w:val="none"/>
          <w14:textFill>
            <w14:solidFill>
              <w14:schemeClr w14:val="tx1"/>
            </w14:solidFill>
          </w14:textFill>
        </w:rPr>
        <w:t>n, Energy &amp; Environmental Science, Joule, Advanced Energy Materials</w:t>
      </w:r>
    </w:p>
    <w:p>
      <w:pPr>
        <w:keepNext w:val="0"/>
        <w:keepLines w:val="0"/>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color w:val="000000" w:themeColor="text1"/>
          <w:kern w:val="0"/>
          <w:sz w:val="22"/>
          <w:szCs w:val="22"/>
          <w:highlight w:val="none"/>
          <w14:textFill>
            <w14:solidFill>
              <w14:schemeClr w14:val="tx1"/>
            </w14:solidFill>
          </w14:textFill>
        </w:rPr>
      </w:pPr>
      <w:r>
        <w:rPr>
          <w:rFonts w:hint="eastAsia" w:ascii="Times New Roman" w:hAnsi="Times New Roman" w:eastAsia="宋体"/>
          <w:bCs/>
          <w:kern w:val="0"/>
          <w:sz w:val="22"/>
          <w:szCs w:val="22"/>
          <w:highlight w:val="none"/>
        </w:rPr>
        <w:t>8</w:t>
      </w:r>
      <w:r>
        <w:rPr>
          <w:rFonts w:hint="eastAsia" w:ascii="Times New Roman" w:hAnsi="Times New Roman" w:eastAsia="宋体"/>
          <w:bCs/>
          <w:kern w:val="0"/>
          <w:sz w:val="22"/>
          <w:szCs w:val="22"/>
          <w:highlight w:val="none"/>
          <w:lang w:eastAsia="zh-CN"/>
        </w:rPr>
        <w:t>）</w:t>
      </w:r>
      <w:r>
        <w:rPr>
          <w:rFonts w:hint="eastAsia" w:ascii="Times New Roman" w:hAnsi="Times New Roman" w:eastAsia="宋体"/>
          <w:bCs/>
          <w:kern w:val="0"/>
          <w:sz w:val="22"/>
          <w:szCs w:val="22"/>
          <w:highlight w:val="none"/>
        </w:rPr>
        <w:t>S</w:t>
      </w:r>
      <w:r>
        <w:rPr>
          <w:rFonts w:hint="eastAsia" w:ascii="Times New Roman" w:hAnsi="Times New Roman" w:eastAsia="宋体"/>
          <w:color w:val="000000" w:themeColor="text1"/>
          <w:kern w:val="0"/>
          <w:sz w:val="22"/>
          <w:szCs w:val="22"/>
          <w:highlight w:val="none"/>
          <w14:textFill>
            <w14:solidFill>
              <w14:schemeClr w14:val="tx1"/>
            </w14:solidFill>
          </w14:textFill>
        </w:rPr>
        <w:t>CI知名期刊包括：Nature Index自然指数收录的82种期刊（2018年6月发布）以及中科院分区TOP期刊。</w:t>
      </w:r>
    </w:p>
    <w:p>
      <w:pPr>
        <w:keepNext w:val="0"/>
        <w:keepLines w:val="0"/>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color w:val="000000" w:themeColor="text1"/>
          <w:kern w:val="0"/>
          <w:sz w:val="22"/>
          <w:szCs w:val="22"/>
          <w:highlight w:val="none"/>
          <w14:textFill>
            <w14:solidFill>
              <w14:schemeClr w14:val="tx1"/>
            </w14:solidFill>
          </w14:textFill>
        </w:rPr>
      </w:pPr>
      <w:r>
        <w:rPr>
          <w:rFonts w:hint="eastAsia" w:ascii="Times New Roman" w:hAnsi="Times New Roman" w:eastAsia="宋体"/>
          <w:color w:val="000000" w:themeColor="text1"/>
          <w:kern w:val="0"/>
          <w:sz w:val="22"/>
          <w:szCs w:val="22"/>
          <w:highlight w:val="none"/>
          <w14:textFill>
            <w14:solidFill>
              <w14:schemeClr w14:val="tx1"/>
            </w14:solidFill>
          </w14:textFill>
        </w:rPr>
        <w:t>9</w:t>
      </w:r>
      <w:r>
        <w:rPr>
          <w:rFonts w:hint="eastAsia" w:ascii="Times New Roman" w:hAnsi="Times New Roman" w:eastAsia="宋体"/>
          <w:color w:val="000000" w:themeColor="text1"/>
          <w:kern w:val="0"/>
          <w:sz w:val="22"/>
          <w:szCs w:val="22"/>
          <w:highlight w:val="none"/>
          <w:lang w:eastAsia="zh-CN"/>
          <w14:textFill>
            <w14:solidFill>
              <w14:schemeClr w14:val="tx1"/>
            </w14:solidFill>
          </w14:textFill>
        </w:rPr>
        <w:t>）</w:t>
      </w:r>
      <w:r>
        <w:rPr>
          <w:rFonts w:hint="eastAsia" w:ascii="Times New Roman" w:hAnsi="Times New Roman" w:eastAsia="宋体"/>
          <w:color w:val="000000" w:themeColor="text1"/>
          <w:kern w:val="0"/>
          <w:sz w:val="22"/>
          <w:szCs w:val="22"/>
          <w:highlight w:val="none"/>
          <w14:textFill>
            <w14:solidFill>
              <w14:schemeClr w14:val="tx1"/>
            </w14:solidFill>
          </w14:textFill>
        </w:rPr>
        <w:t>动力工程及工程热物理学科业界公认的国际顶级或重要科技期刊，参考《哈工大国内外国水平期刊目录》。</w:t>
      </w:r>
    </w:p>
    <w:p>
      <w:pPr>
        <w:keepNext w:val="0"/>
        <w:keepLines w:val="0"/>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bCs/>
          <w:kern w:val="0"/>
          <w:sz w:val="22"/>
          <w:szCs w:val="22"/>
          <w:highlight w:val="none"/>
        </w:rPr>
      </w:pPr>
      <w:r>
        <w:rPr>
          <w:rFonts w:hint="eastAsia" w:ascii="Times New Roman" w:hAnsi="Times New Roman" w:eastAsia="宋体"/>
          <w:bCs/>
          <w:kern w:val="0"/>
          <w:sz w:val="22"/>
          <w:szCs w:val="22"/>
          <w:highlight w:val="none"/>
        </w:rPr>
        <w:t>10</w:t>
      </w:r>
      <w:r>
        <w:rPr>
          <w:rFonts w:ascii="Times New Roman" w:hAnsi="Times New Roman" w:eastAsia="宋体"/>
          <w:bCs/>
          <w:kern w:val="0"/>
          <w:sz w:val="22"/>
          <w:szCs w:val="22"/>
          <w:highlight w:val="none"/>
        </w:rPr>
        <w:t>）重要国内综合类期刊：《中国科学》、《科学通报》、《中国工程科学》。</w:t>
      </w:r>
    </w:p>
    <w:p>
      <w:pPr>
        <w:keepNext w:val="0"/>
        <w:keepLines w:val="0"/>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bCs/>
          <w:kern w:val="0"/>
          <w:sz w:val="22"/>
          <w:szCs w:val="22"/>
          <w:highlight w:val="none"/>
        </w:rPr>
      </w:pPr>
      <w:r>
        <w:rPr>
          <w:rFonts w:hint="eastAsia" w:ascii="Times New Roman" w:hAnsi="Times New Roman" w:eastAsia="宋体"/>
          <w:bCs/>
          <w:kern w:val="0"/>
          <w:sz w:val="22"/>
          <w:szCs w:val="22"/>
          <w:highlight w:val="none"/>
        </w:rPr>
        <w:t>11</w:t>
      </w:r>
      <w:r>
        <w:rPr>
          <w:rFonts w:ascii="Times New Roman" w:hAnsi="Times New Roman" w:eastAsia="宋体"/>
          <w:bCs/>
          <w:kern w:val="0"/>
          <w:sz w:val="22"/>
          <w:szCs w:val="22"/>
          <w:highlight w:val="none"/>
        </w:rPr>
        <w:t>）本学科重要国内一级刊物：工程热物理学报、动力工程学报、航空学报、宇航学报、航空动力学报、内燃机学报、中国电机工程学报、太阳能学报、化工学报、机械工程学报、振动工程学报、红外与毫米波学报、光学学报、声学学报、力学学报、水利学报、化学物理学报、硅酸盐学报、自动化学报、计量学报、兵工学报、中国环境科学、自然资源学报、煤炭学报。</w:t>
      </w:r>
    </w:p>
    <w:p>
      <w:pPr>
        <w:widowControl/>
        <w:rPr>
          <w:rFonts w:ascii="Times New Roman" w:hAnsi="Times New Roman" w:eastAsia="宋体"/>
          <w:bCs/>
          <w:kern w:val="0"/>
          <w:szCs w:val="21"/>
          <w:highlight w:val="none"/>
        </w:rPr>
      </w:pPr>
    </w:p>
    <w:p>
      <w:pPr>
        <w:widowControl/>
        <w:shd w:val="clear" w:color="auto" w:fill="FFFFFF"/>
        <w:spacing w:line="420" w:lineRule="atLeast"/>
        <w:rPr>
          <w:rFonts w:ascii="Times New Roman" w:hAnsi="Times New Roman" w:eastAsia="宋体"/>
          <w:kern w:val="0"/>
          <w:sz w:val="24"/>
          <w:highlight w:val="none"/>
        </w:rPr>
      </w:pPr>
      <w:r>
        <w:rPr>
          <w:rFonts w:hint="eastAsia" w:ascii="Times New Roman" w:hAnsi="Times New Roman" w:eastAsia="宋体"/>
          <w:kern w:val="0"/>
          <w:sz w:val="24"/>
          <w:highlight w:val="none"/>
        </w:rPr>
        <w:t>（2）专利及软件著作权等信息产业类加分</w:t>
      </w:r>
    </w:p>
    <w:p>
      <w:pPr>
        <w:widowControl/>
        <w:shd w:val="clear" w:color="auto" w:fill="FFFFFF"/>
        <w:spacing w:after="240" w:line="420" w:lineRule="atLeast"/>
        <w:ind w:firstLine="480" w:firstLineChars="200"/>
        <w:rPr>
          <w:rFonts w:ascii="Times New Roman" w:hAnsi="Times New Roman" w:eastAsia="宋体"/>
          <w:kern w:val="0"/>
          <w:sz w:val="24"/>
          <w:highlight w:val="none"/>
        </w:rPr>
      </w:pPr>
      <w:r>
        <w:rPr>
          <w:rFonts w:hint="eastAsia" w:ascii="Times New Roman" w:hAnsi="Times New Roman" w:eastAsia="宋体"/>
          <w:kern w:val="0"/>
          <w:sz w:val="24"/>
          <w:highlight w:val="none"/>
        </w:rPr>
        <w:t>研究生在校期间，取得专利授权、受理，予以相应加分，可累计加分。具体加分分值见下表：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1389"/>
        <w:gridCol w:w="1417"/>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447" w:type="dxa"/>
            <w:gridSpan w:val="4"/>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已产生重大效益的授权发明专利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72"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第一作者</w:t>
            </w:r>
          </w:p>
        </w:tc>
        <w:tc>
          <w:tcPr>
            <w:tcW w:w="1389"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10分</w:t>
            </w:r>
          </w:p>
        </w:tc>
        <w:tc>
          <w:tcPr>
            <w:tcW w:w="1417"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第二作者</w:t>
            </w:r>
          </w:p>
        </w:tc>
        <w:tc>
          <w:tcPr>
            <w:tcW w:w="1469" w:type="dxa"/>
            <w:vAlign w:val="center"/>
          </w:tcPr>
          <w:p>
            <w:pPr>
              <w:widowControl/>
              <w:spacing w:before="120" w:beforeLines="50" w:after="120" w:afterLines="50"/>
              <w:jc w:val="center"/>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7" w:type="dxa"/>
            <w:gridSpan w:val="4"/>
            <w:vAlign w:val="center"/>
          </w:tcPr>
          <w:p>
            <w:pPr>
              <w:widowControl/>
              <w:spacing w:before="120" w:beforeLines="50" w:after="120" w:afterLines="50"/>
              <w:rPr>
                <w:rFonts w:ascii="Times New Roman" w:hAnsi="Times New Roman" w:eastAsia="宋体"/>
                <w:bCs/>
                <w:color w:val="000000" w:themeColor="text1"/>
                <w:kern w:val="0"/>
                <w:sz w:val="21"/>
                <w:szCs w:val="21"/>
                <w:highlight w:val="none"/>
                <w14:textFill>
                  <w14:solidFill>
                    <w14:schemeClr w14:val="tx1"/>
                  </w14:solidFill>
                </w14:textFill>
              </w:rPr>
            </w:pPr>
            <w:r>
              <w:rPr>
                <w:rFonts w:hint="eastAsia" w:ascii="Times New Roman" w:hAnsi="Times New Roman" w:eastAsia="宋体"/>
                <w:bCs/>
                <w:color w:val="000000" w:themeColor="text1"/>
                <w:kern w:val="0"/>
                <w:sz w:val="21"/>
                <w:szCs w:val="21"/>
                <w:highlight w:val="none"/>
                <w14:textFill>
                  <w14:solidFill>
                    <w14:schemeClr w14:val="tx1"/>
                  </w14:solidFill>
                </w14:textFill>
              </w:rPr>
              <w:t>国际发明专利（授权）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72" w:type="dxa"/>
            <w:vAlign w:val="center"/>
          </w:tcPr>
          <w:p>
            <w:pPr>
              <w:widowControl/>
              <w:spacing w:before="120" w:beforeLines="50" w:after="120" w:afterLines="50"/>
              <w:rPr>
                <w:rFonts w:ascii="Times New Roman" w:hAnsi="Times New Roman" w:eastAsia="宋体"/>
                <w:bCs/>
                <w:color w:val="000000" w:themeColor="text1"/>
                <w:kern w:val="0"/>
                <w:sz w:val="21"/>
                <w:szCs w:val="21"/>
                <w:highlight w:val="none"/>
                <w14:textFill>
                  <w14:solidFill>
                    <w14:schemeClr w14:val="tx1"/>
                  </w14:solidFill>
                </w14:textFill>
              </w:rPr>
            </w:pPr>
            <w:r>
              <w:rPr>
                <w:rFonts w:hint="eastAsia" w:ascii="Times New Roman" w:hAnsi="Times New Roman" w:eastAsia="宋体"/>
                <w:bCs/>
                <w:color w:val="000000" w:themeColor="text1"/>
                <w:kern w:val="0"/>
                <w:sz w:val="21"/>
                <w:szCs w:val="21"/>
                <w:highlight w:val="none"/>
                <w14:textFill>
                  <w14:solidFill>
                    <w14:schemeClr w14:val="tx1"/>
                  </w14:solidFill>
                </w14:textFill>
              </w:rPr>
              <w:t>第一作者</w:t>
            </w:r>
          </w:p>
        </w:tc>
        <w:tc>
          <w:tcPr>
            <w:tcW w:w="1389" w:type="dxa"/>
            <w:vAlign w:val="center"/>
          </w:tcPr>
          <w:p>
            <w:pPr>
              <w:widowControl/>
              <w:spacing w:before="120" w:beforeLines="50" w:after="120" w:afterLines="50"/>
              <w:rPr>
                <w:rFonts w:ascii="Times New Roman" w:hAnsi="Times New Roman" w:eastAsia="宋体"/>
                <w:bCs/>
                <w:color w:val="000000" w:themeColor="text1"/>
                <w:kern w:val="0"/>
                <w:sz w:val="21"/>
                <w:szCs w:val="21"/>
                <w:highlight w:val="none"/>
                <w14:textFill>
                  <w14:solidFill>
                    <w14:schemeClr w14:val="tx1"/>
                  </w14:solidFill>
                </w14:textFill>
              </w:rPr>
            </w:pPr>
            <w:r>
              <w:rPr>
                <w:rFonts w:hint="eastAsia" w:ascii="Times New Roman" w:hAnsi="Times New Roman" w:eastAsia="宋体"/>
                <w:bCs/>
                <w:color w:val="000000" w:themeColor="text1"/>
                <w:kern w:val="0"/>
                <w:sz w:val="21"/>
                <w:szCs w:val="21"/>
                <w:highlight w:val="none"/>
                <w14:textFill>
                  <w14:solidFill>
                    <w14:schemeClr w14:val="tx1"/>
                  </w14:solidFill>
                </w14:textFill>
              </w:rPr>
              <w:t>5分</w:t>
            </w:r>
          </w:p>
        </w:tc>
        <w:tc>
          <w:tcPr>
            <w:tcW w:w="1417" w:type="dxa"/>
            <w:vAlign w:val="center"/>
          </w:tcPr>
          <w:p>
            <w:pPr>
              <w:widowControl/>
              <w:spacing w:before="120" w:beforeLines="50" w:after="120" w:afterLines="50"/>
              <w:rPr>
                <w:rFonts w:ascii="Times New Roman" w:hAnsi="Times New Roman" w:eastAsia="宋体"/>
                <w:bCs/>
                <w:color w:val="000000" w:themeColor="text1"/>
                <w:kern w:val="0"/>
                <w:sz w:val="21"/>
                <w:szCs w:val="21"/>
                <w:highlight w:val="none"/>
                <w14:textFill>
                  <w14:solidFill>
                    <w14:schemeClr w14:val="tx1"/>
                  </w14:solidFill>
                </w14:textFill>
              </w:rPr>
            </w:pPr>
            <w:r>
              <w:rPr>
                <w:rFonts w:hint="eastAsia" w:ascii="Times New Roman" w:hAnsi="Times New Roman" w:eastAsia="宋体"/>
                <w:bCs/>
                <w:color w:val="000000" w:themeColor="text1"/>
                <w:kern w:val="0"/>
                <w:sz w:val="21"/>
                <w:szCs w:val="21"/>
                <w:highlight w:val="none"/>
                <w14:textFill>
                  <w14:solidFill>
                    <w14:schemeClr w14:val="tx1"/>
                  </w14:solidFill>
                </w14:textFill>
              </w:rPr>
              <w:t>第二作者</w:t>
            </w:r>
          </w:p>
        </w:tc>
        <w:tc>
          <w:tcPr>
            <w:tcW w:w="1469" w:type="dxa"/>
            <w:vAlign w:val="center"/>
          </w:tcPr>
          <w:p>
            <w:pPr>
              <w:widowControl/>
              <w:spacing w:before="120" w:beforeLines="50" w:after="120" w:afterLines="50"/>
              <w:jc w:val="center"/>
              <w:rPr>
                <w:rFonts w:ascii="Times New Roman" w:hAnsi="Times New Roman" w:eastAsia="宋体"/>
                <w:bCs/>
                <w:color w:val="000000" w:themeColor="text1"/>
                <w:kern w:val="0"/>
                <w:sz w:val="21"/>
                <w:szCs w:val="21"/>
                <w:highlight w:val="none"/>
                <w14:textFill>
                  <w14:solidFill>
                    <w14:schemeClr w14:val="tx1"/>
                  </w14:solidFill>
                </w14:textFill>
              </w:rPr>
            </w:pPr>
            <w:r>
              <w:rPr>
                <w:rFonts w:hint="eastAsia" w:ascii="Times New Roman" w:hAnsi="Times New Roman" w:eastAsia="宋体"/>
                <w:bCs/>
                <w:color w:val="000000" w:themeColor="text1"/>
                <w:kern w:val="0"/>
                <w:sz w:val="21"/>
                <w:szCs w:val="21"/>
                <w:highlight w:val="none"/>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447" w:type="dxa"/>
            <w:gridSpan w:val="4"/>
            <w:vAlign w:val="center"/>
          </w:tcPr>
          <w:p>
            <w:pPr>
              <w:widowControl/>
              <w:spacing w:before="120" w:beforeLines="50" w:after="120" w:afterLines="50"/>
              <w:rPr>
                <w:rFonts w:ascii="Times New Roman" w:hAnsi="Times New Roman" w:eastAsia="宋体"/>
                <w:bCs/>
                <w:color w:val="000000" w:themeColor="text1"/>
                <w:kern w:val="0"/>
                <w:sz w:val="21"/>
                <w:szCs w:val="21"/>
                <w:highlight w:val="none"/>
                <w14:textFill>
                  <w14:solidFill>
                    <w14:schemeClr w14:val="tx1"/>
                  </w14:solidFill>
                </w14:textFill>
              </w:rPr>
            </w:pPr>
            <w:r>
              <w:rPr>
                <w:rFonts w:hint="eastAsia" w:ascii="Times New Roman" w:hAnsi="Times New Roman" w:eastAsia="宋体"/>
                <w:bCs/>
                <w:color w:val="000000" w:themeColor="text1"/>
                <w:kern w:val="0"/>
                <w:sz w:val="21"/>
                <w:szCs w:val="21"/>
                <w:highlight w:val="none"/>
                <w14:textFill>
                  <w14:solidFill>
                    <w14:schemeClr w14:val="tx1"/>
                  </w14:solidFill>
                </w14:textFill>
              </w:rPr>
              <w:t>国内发明专利（授权）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72"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第一作者</w:t>
            </w:r>
          </w:p>
        </w:tc>
        <w:tc>
          <w:tcPr>
            <w:tcW w:w="1389"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2分</w:t>
            </w:r>
          </w:p>
        </w:tc>
        <w:tc>
          <w:tcPr>
            <w:tcW w:w="1417"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第二作者</w:t>
            </w:r>
          </w:p>
        </w:tc>
        <w:tc>
          <w:tcPr>
            <w:tcW w:w="1469" w:type="dxa"/>
            <w:vAlign w:val="center"/>
          </w:tcPr>
          <w:p>
            <w:pPr>
              <w:widowControl/>
              <w:spacing w:before="120" w:beforeLines="50" w:after="120" w:afterLines="50"/>
              <w:jc w:val="center"/>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7" w:type="dxa"/>
            <w:gridSpan w:val="4"/>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发明专利（受理）、实用新型（授权）、</w:t>
            </w:r>
            <w:r>
              <w:rPr>
                <w:rFonts w:hint="eastAsia" w:ascii="Times New Roman" w:hAnsi="Times New Roman" w:eastAsia="宋体"/>
                <w:sz w:val="21"/>
                <w:szCs w:val="21"/>
                <w:highlight w:val="none"/>
              </w:rPr>
              <w:t>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72"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第一作者</w:t>
            </w:r>
          </w:p>
        </w:tc>
        <w:tc>
          <w:tcPr>
            <w:tcW w:w="1389"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0.5分</w:t>
            </w:r>
          </w:p>
        </w:tc>
        <w:tc>
          <w:tcPr>
            <w:tcW w:w="1417"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第二作者</w:t>
            </w:r>
          </w:p>
        </w:tc>
        <w:tc>
          <w:tcPr>
            <w:tcW w:w="1469" w:type="dxa"/>
            <w:vAlign w:val="center"/>
          </w:tcPr>
          <w:p>
            <w:pPr>
              <w:widowControl/>
              <w:spacing w:before="120" w:beforeLines="50" w:after="120" w:afterLines="50"/>
              <w:jc w:val="center"/>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0.2分</w:t>
            </w:r>
          </w:p>
        </w:tc>
      </w:tr>
    </w:tbl>
    <w:p>
      <w:pPr>
        <w:keepNext w:val="0"/>
        <w:keepLines w:val="0"/>
        <w:pageBreakBefore w:val="0"/>
        <w:widowControl/>
        <w:kinsoku/>
        <w:wordWrap/>
        <w:overflowPunct/>
        <w:topLinePunct w:val="0"/>
        <w:autoSpaceDE/>
        <w:autoSpaceDN/>
        <w:bidi w:val="0"/>
        <w:adjustRightInd/>
        <w:snapToGrid/>
        <w:spacing w:before="240" w:line="276" w:lineRule="auto"/>
        <w:textAlignment w:val="auto"/>
        <w:rPr>
          <w:rFonts w:ascii="Times New Roman" w:hAnsi="Times New Roman" w:eastAsia="宋体"/>
          <w:bCs/>
          <w:kern w:val="0"/>
          <w:sz w:val="22"/>
          <w:szCs w:val="22"/>
          <w:highlight w:val="none"/>
        </w:rPr>
      </w:pPr>
      <w:r>
        <w:rPr>
          <w:rFonts w:hint="eastAsia" w:ascii="Times New Roman" w:hAnsi="Times New Roman" w:eastAsia="宋体"/>
          <w:b/>
          <w:bCs/>
          <w:kern w:val="0"/>
          <w:sz w:val="22"/>
          <w:szCs w:val="22"/>
          <w:highlight w:val="none"/>
        </w:rPr>
        <w:t>注</w:t>
      </w:r>
      <w:r>
        <w:rPr>
          <w:rFonts w:hint="eastAsia" w:ascii="Times New Roman" w:hAnsi="Times New Roman" w:eastAsia="宋体"/>
          <w:bCs/>
          <w:kern w:val="0"/>
          <w:sz w:val="22"/>
          <w:szCs w:val="22"/>
          <w:highlight w:val="none"/>
        </w:rPr>
        <w:t>：可获得加分的专利需满足下列两个条件：必须与课题或研究生教育相关；</w:t>
      </w:r>
    </w:p>
    <w:p>
      <w:pPr>
        <w:keepNext w:val="0"/>
        <w:keepLines w:val="0"/>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bCs/>
          <w:kern w:val="0"/>
          <w:sz w:val="22"/>
          <w:szCs w:val="22"/>
          <w:highlight w:val="none"/>
        </w:rPr>
      </w:pPr>
      <w:r>
        <w:rPr>
          <w:rFonts w:hint="eastAsia" w:ascii="Times New Roman" w:hAnsi="Times New Roman" w:eastAsia="宋体"/>
          <w:bCs/>
          <w:kern w:val="0"/>
          <w:sz w:val="22"/>
          <w:szCs w:val="22"/>
          <w:highlight w:val="none"/>
        </w:rPr>
        <w:t>第一作者及第一申请单位为哈尔滨工业大学；</w:t>
      </w:r>
    </w:p>
    <w:p>
      <w:pPr>
        <w:keepNext w:val="0"/>
        <w:keepLines w:val="0"/>
        <w:pageBreakBefore w:val="0"/>
        <w:widowControl/>
        <w:numPr>
          <w:numId w:val="0"/>
        </w:numPr>
        <w:kinsoku/>
        <w:wordWrap/>
        <w:overflowPunct/>
        <w:topLinePunct w:val="0"/>
        <w:autoSpaceDE/>
        <w:autoSpaceDN/>
        <w:bidi w:val="0"/>
        <w:adjustRightInd/>
        <w:snapToGrid/>
        <w:spacing w:line="276" w:lineRule="auto"/>
        <w:ind w:leftChars="0"/>
        <w:textAlignment w:val="auto"/>
        <w:rPr>
          <w:rFonts w:ascii="Times New Roman" w:hAnsi="Times New Roman" w:eastAsia="宋体"/>
          <w:bCs/>
          <w:kern w:val="0"/>
          <w:sz w:val="22"/>
          <w:szCs w:val="22"/>
          <w:highlight w:val="none"/>
        </w:rPr>
      </w:pPr>
      <w:r>
        <w:rPr>
          <w:rFonts w:hint="eastAsia" w:ascii="Times New Roman" w:hAnsi="Times New Roman" w:eastAsia="宋体"/>
          <w:bCs/>
          <w:kern w:val="0"/>
          <w:sz w:val="22"/>
          <w:szCs w:val="22"/>
          <w:highlight w:val="none"/>
          <w:lang w:val="en-US" w:eastAsia="zh-CN"/>
        </w:rPr>
        <w:t>1）</w:t>
      </w:r>
      <w:r>
        <w:rPr>
          <w:rFonts w:hint="eastAsia" w:ascii="Times New Roman" w:hAnsi="Times New Roman" w:eastAsia="宋体"/>
          <w:bCs/>
          <w:kern w:val="0"/>
          <w:sz w:val="22"/>
          <w:szCs w:val="22"/>
          <w:highlight w:val="none"/>
        </w:rPr>
        <w:t>授权专利提供授权证书复印件，且需由该专利指导教师签字确认</w:t>
      </w:r>
    </w:p>
    <w:p>
      <w:pPr>
        <w:keepNext w:val="0"/>
        <w:keepLines w:val="0"/>
        <w:pageBreakBefore w:val="0"/>
        <w:widowControl/>
        <w:numPr>
          <w:numId w:val="0"/>
        </w:numPr>
        <w:kinsoku/>
        <w:wordWrap/>
        <w:overflowPunct/>
        <w:topLinePunct w:val="0"/>
        <w:autoSpaceDE/>
        <w:autoSpaceDN/>
        <w:bidi w:val="0"/>
        <w:adjustRightInd/>
        <w:snapToGrid/>
        <w:spacing w:line="276" w:lineRule="auto"/>
        <w:textAlignment w:val="auto"/>
        <w:rPr>
          <w:rFonts w:ascii="Times New Roman" w:hAnsi="Times New Roman" w:eastAsia="宋体"/>
          <w:bCs/>
          <w:kern w:val="0"/>
          <w:sz w:val="22"/>
          <w:szCs w:val="22"/>
          <w:highlight w:val="none"/>
        </w:rPr>
      </w:pPr>
      <w:r>
        <w:rPr>
          <w:rFonts w:hint="eastAsia" w:ascii="Times New Roman" w:hAnsi="Times New Roman" w:eastAsia="宋体"/>
          <w:bCs/>
          <w:kern w:val="0"/>
          <w:sz w:val="22"/>
          <w:szCs w:val="22"/>
          <w:highlight w:val="none"/>
          <w:lang w:val="en-US" w:eastAsia="zh-CN"/>
        </w:rPr>
        <w:t>2）</w:t>
      </w:r>
      <w:r>
        <w:rPr>
          <w:rFonts w:hint="eastAsia" w:ascii="Times New Roman" w:hAnsi="Times New Roman" w:eastAsia="宋体"/>
          <w:bCs/>
          <w:kern w:val="0"/>
          <w:sz w:val="22"/>
          <w:szCs w:val="22"/>
          <w:highlight w:val="none"/>
        </w:rPr>
        <w:t>受理专利提供受理证书复印件，且需由该专利指导教师签字确认</w:t>
      </w:r>
    </w:p>
    <w:p>
      <w:pPr>
        <w:keepNext w:val="0"/>
        <w:keepLines w:val="0"/>
        <w:pageBreakBefore w:val="0"/>
        <w:widowControl/>
        <w:numPr>
          <w:numId w:val="0"/>
        </w:numPr>
        <w:kinsoku/>
        <w:wordWrap/>
        <w:overflowPunct/>
        <w:topLinePunct w:val="0"/>
        <w:autoSpaceDE/>
        <w:autoSpaceDN/>
        <w:bidi w:val="0"/>
        <w:adjustRightInd/>
        <w:snapToGrid/>
        <w:spacing w:line="276" w:lineRule="auto"/>
        <w:textAlignment w:val="auto"/>
        <w:rPr>
          <w:rFonts w:ascii="Times New Roman" w:hAnsi="Times New Roman" w:eastAsia="宋体"/>
          <w:bCs/>
          <w:kern w:val="0"/>
          <w:sz w:val="22"/>
          <w:szCs w:val="22"/>
          <w:highlight w:val="none"/>
        </w:rPr>
      </w:pPr>
      <w:r>
        <w:rPr>
          <w:rFonts w:hint="eastAsia" w:ascii="Times New Roman" w:hAnsi="Times New Roman" w:eastAsia="宋体"/>
          <w:bCs/>
          <w:kern w:val="0"/>
          <w:sz w:val="22"/>
          <w:szCs w:val="22"/>
          <w:highlight w:val="none"/>
          <w:lang w:val="en-US" w:eastAsia="zh-CN"/>
        </w:rPr>
        <w:t>3）</w:t>
      </w:r>
      <w:r>
        <w:rPr>
          <w:rFonts w:hint="eastAsia" w:ascii="Times New Roman" w:hAnsi="Times New Roman" w:eastAsia="宋体"/>
          <w:bCs/>
          <w:kern w:val="0"/>
          <w:sz w:val="22"/>
          <w:szCs w:val="22"/>
          <w:highlight w:val="none"/>
        </w:rPr>
        <w:t>软件著作权需提供权授权证书，且需由该专利指导教师签字确认</w:t>
      </w:r>
    </w:p>
    <w:p>
      <w:pPr>
        <w:keepNext w:val="0"/>
        <w:keepLines w:val="0"/>
        <w:pageBreakBefore w:val="0"/>
        <w:widowControl/>
        <w:numPr>
          <w:numId w:val="0"/>
        </w:numPr>
        <w:kinsoku/>
        <w:wordWrap/>
        <w:overflowPunct/>
        <w:topLinePunct w:val="0"/>
        <w:autoSpaceDE/>
        <w:autoSpaceDN/>
        <w:bidi w:val="0"/>
        <w:adjustRightInd/>
        <w:snapToGrid/>
        <w:spacing w:line="276" w:lineRule="auto"/>
        <w:textAlignment w:val="auto"/>
        <w:rPr>
          <w:rFonts w:ascii="Times New Roman" w:hAnsi="Times New Roman" w:eastAsia="宋体"/>
          <w:bCs/>
          <w:kern w:val="0"/>
          <w:sz w:val="22"/>
          <w:szCs w:val="22"/>
          <w:highlight w:val="none"/>
        </w:rPr>
      </w:pPr>
      <w:r>
        <w:rPr>
          <w:rFonts w:hint="eastAsia" w:ascii="Times New Roman" w:hAnsi="Times New Roman" w:eastAsia="宋体"/>
          <w:bCs/>
          <w:kern w:val="0"/>
          <w:sz w:val="22"/>
          <w:szCs w:val="22"/>
          <w:highlight w:val="none"/>
          <w:lang w:val="en-US" w:eastAsia="zh-CN"/>
        </w:rPr>
        <w:t>4）</w:t>
      </w:r>
      <w:r>
        <w:rPr>
          <w:rFonts w:hint="eastAsia" w:ascii="Times New Roman" w:hAnsi="Times New Roman" w:eastAsia="宋体"/>
          <w:bCs/>
          <w:kern w:val="0"/>
          <w:sz w:val="22"/>
          <w:szCs w:val="22"/>
          <w:highlight w:val="none"/>
        </w:rPr>
        <w:t>已产生重大效益的授权发明专利，要有明确的佐证材料，并由学院研究生国家奖学金评审委员会认定</w:t>
      </w:r>
    </w:p>
    <w:p>
      <w:pPr>
        <w:keepNext w:val="0"/>
        <w:keepLines w:val="0"/>
        <w:pageBreakBefore w:val="0"/>
        <w:widowControl/>
        <w:numPr>
          <w:numId w:val="0"/>
        </w:numPr>
        <w:kinsoku/>
        <w:wordWrap/>
        <w:overflowPunct/>
        <w:topLinePunct w:val="0"/>
        <w:autoSpaceDE/>
        <w:autoSpaceDN/>
        <w:bidi w:val="0"/>
        <w:adjustRightInd/>
        <w:snapToGrid/>
        <w:spacing w:line="276" w:lineRule="auto"/>
        <w:textAlignment w:val="auto"/>
        <w:rPr>
          <w:rFonts w:ascii="Times New Roman" w:hAnsi="Times New Roman" w:eastAsia="宋体"/>
          <w:bCs/>
          <w:kern w:val="0"/>
          <w:szCs w:val="21"/>
          <w:highlight w:val="none"/>
        </w:rPr>
      </w:pPr>
      <w:r>
        <w:rPr>
          <w:rFonts w:hint="eastAsia" w:ascii="Times New Roman" w:hAnsi="Times New Roman" w:eastAsia="宋体"/>
          <w:bCs/>
          <w:kern w:val="0"/>
          <w:sz w:val="22"/>
          <w:szCs w:val="22"/>
          <w:highlight w:val="none"/>
          <w:lang w:val="en-US" w:eastAsia="zh-CN"/>
        </w:rPr>
        <w:t>5）</w:t>
      </w:r>
      <w:r>
        <w:rPr>
          <w:rFonts w:hint="eastAsia" w:ascii="Times New Roman" w:hAnsi="Times New Roman" w:eastAsia="宋体"/>
          <w:bCs/>
          <w:kern w:val="0"/>
          <w:sz w:val="22"/>
          <w:szCs w:val="22"/>
          <w:highlight w:val="none"/>
        </w:rPr>
        <w:t>硕士研究生发表专利及软件著作权，只统计前两名作者，如果学生为第二作者，其导师为第一作者时，按第一作者计算，其余情况按正常排序。</w:t>
      </w:r>
    </w:p>
    <w:p>
      <w:pPr>
        <w:widowControl/>
        <w:shd w:val="clear" w:color="auto" w:fill="FEFEFE"/>
        <w:spacing w:before="120" w:beforeLines="50" w:after="120" w:afterLines="50" w:line="360" w:lineRule="auto"/>
        <w:ind w:hanging="420"/>
        <w:jc w:val="left"/>
        <w:rPr>
          <w:rFonts w:ascii="Times New Roman" w:hAnsi="Times New Roman" w:eastAsia="宋体"/>
          <w:b/>
          <w:kern w:val="0"/>
          <w:sz w:val="24"/>
          <w:highlight w:val="none"/>
        </w:rPr>
      </w:pPr>
      <w:r>
        <w:rPr>
          <w:rFonts w:hint="eastAsia" w:ascii="Times New Roman" w:hAnsi="Times New Roman" w:eastAsia="宋体"/>
          <w:b/>
          <w:kern w:val="0"/>
          <w:sz w:val="24"/>
          <w:highlight w:val="none"/>
        </w:rPr>
        <w:t>二、博士研究生综合成绩</w:t>
      </w:r>
      <w:r>
        <w:rPr>
          <w:rFonts w:ascii="Times New Roman" w:hAnsi="Times New Roman" w:eastAsia="宋体"/>
          <w:b/>
          <w:kern w:val="0"/>
          <w:sz w:val="24"/>
          <w:highlight w:val="none"/>
        </w:rPr>
        <w:t>细则及评分参考标准</w:t>
      </w:r>
    </w:p>
    <w:p>
      <w:pPr>
        <w:widowControl/>
        <w:shd w:val="clear" w:color="auto" w:fill="FFFFFF"/>
        <w:spacing w:line="420" w:lineRule="atLeast"/>
        <w:rPr>
          <w:rFonts w:ascii="Times New Roman" w:hAnsi="Times New Roman" w:eastAsia="宋体"/>
          <w:kern w:val="0"/>
          <w:sz w:val="24"/>
          <w:highlight w:val="none"/>
        </w:rPr>
      </w:pPr>
      <w:r>
        <w:rPr>
          <w:rFonts w:ascii="Times New Roman" w:hAnsi="Times New Roman" w:eastAsia="宋体"/>
          <w:kern w:val="0"/>
          <w:sz w:val="24"/>
          <w:highlight w:val="none"/>
        </w:rPr>
        <w:t>1、</w:t>
      </w:r>
      <w:r>
        <w:rPr>
          <w:rFonts w:hint="eastAsia" w:ascii="Times New Roman" w:hAnsi="Times New Roman" w:eastAsia="宋体"/>
          <w:kern w:val="0"/>
          <w:sz w:val="24"/>
          <w:highlight w:val="none"/>
        </w:rPr>
        <w:t>研究生课程成绩占20％（政治成绩）</w:t>
      </w:r>
    </w:p>
    <w:p>
      <w:pPr>
        <w:widowControl/>
        <w:shd w:val="clear" w:color="auto" w:fill="FFFFFF"/>
        <w:spacing w:after="240" w:line="420" w:lineRule="atLeast"/>
        <w:rPr>
          <w:rFonts w:ascii="Times New Roman" w:hAnsi="Times New Roman" w:eastAsia="宋体"/>
          <w:kern w:val="0"/>
          <w:sz w:val="24"/>
          <w:highlight w:val="none"/>
        </w:rPr>
      </w:pPr>
      <w:r>
        <w:rPr>
          <w:rFonts w:hint="eastAsia" w:ascii="Times New Roman" w:hAnsi="Times New Roman" w:eastAsia="宋体"/>
          <w:kern w:val="0"/>
          <w:sz w:val="24"/>
          <w:highlight w:val="none"/>
        </w:rPr>
        <w:t>2</w:t>
      </w:r>
      <w:r>
        <w:rPr>
          <w:rFonts w:ascii="Times New Roman" w:hAnsi="Times New Roman" w:eastAsia="宋体"/>
          <w:kern w:val="0"/>
          <w:sz w:val="24"/>
          <w:highlight w:val="none"/>
        </w:rPr>
        <w:t>、</w:t>
      </w:r>
      <w:r>
        <w:rPr>
          <w:rFonts w:hint="eastAsia" w:ascii="Times New Roman" w:hAnsi="Times New Roman" w:eastAsia="宋体"/>
          <w:kern w:val="0"/>
          <w:sz w:val="24"/>
          <w:highlight w:val="none"/>
        </w:rPr>
        <w:t>课题进展及研究所工作加分占10%（由各研究所及导师考核）</w:t>
      </w: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93"/>
        <w:gridCol w:w="1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7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before="120" w:beforeLines="50" w:after="120" w:afterLines="50"/>
              <w:rPr>
                <w:rFonts w:ascii="Times New Roman" w:hAnsi="Times New Roman" w:eastAsia="宋体"/>
                <w:bCs/>
                <w:kern w:val="0"/>
                <w:szCs w:val="21"/>
                <w:highlight w:val="none"/>
              </w:rPr>
            </w:pPr>
            <w:r>
              <w:rPr>
                <w:rFonts w:hint="eastAsia" w:ascii="Times New Roman" w:hAnsi="Times New Roman" w:eastAsia="宋体"/>
                <w:bCs/>
                <w:kern w:val="0"/>
                <w:szCs w:val="21"/>
                <w:highlight w:val="none"/>
              </w:rPr>
              <w:t>刻苦钻研，课题进展顺利，自觉遵守研究所的各项规章制度（如保密制度等），并且积极参加研究组织的各项活动等</w:t>
            </w:r>
          </w:p>
        </w:tc>
        <w:tc>
          <w:tcPr>
            <w:tcW w:w="10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rPr>
                <w:rFonts w:ascii="Times New Roman" w:hAnsi="Times New Roman" w:eastAsia="宋体"/>
                <w:bCs/>
                <w:kern w:val="0"/>
                <w:szCs w:val="21"/>
                <w:highlight w:val="none"/>
              </w:rPr>
            </w:pPr>
            <w:r>
              <w:rPr>
                <w:rFonts w:hint="eastAsia" w:ascii="Times New Roman" w:hAnsi="Times New Roman" w:eastAsia="宋体"/>
                <w:bCs/>
                <w:kern w:val="0"/>
                <w:szCs w:val="21"/>
                <w:highlight w:val="none"/>
              </w:rPr>
              <w:t>0~10</w:t>
            </w:r>
            <w:r>
              <w:rPr>
                <w:rFonts w:hint="eastAsia" w:ascii="Times New Roman" w:hAnsi="Times New Roman" w:eastAsia="宋体"/>
                <w:bCs/>
                <w:kern w:val="0"/>
                <w:szCs w:val="21"/>
                <w:highlight w:val="none"/>
              </w:rPr>
              <w:t>分</w:t>
            </w:r>
          </w:p>
        </w:tc>
      </w:tr>
    </w:tbl>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0" w:firstLineChars="0"/>
        <w:textAlignment w:val="auto"/>
        <w:rPr>
          <w:rFonts w:ascii="Times New Roman" w:hAnsi="Times New Roman" w:eastAsia="宋体"/>
          <w:kern w:val="0"/>
          <w:sz w:val="24"/>
          <w:highlight w:val="none"/>
        </w:rPr>
      </w:pPr>
      <w:r>
        <w:rPr>
          <w:rFonts w:hint="eastAsia" w:ascii="Times New Roman" w:hAnsi="Times New Roman" w:eastAsia="宋体"/>
          <w:kern w:val="0"/>
          <w:sz w:val="24"/>
          <w:highlight w:val="none"/>
        </w:rPr>
        <w:t>3</w:t>
      </w:r>
      <w:r>
        <w:rPr>
          <w:rFonts w:ascii="Times New Roman" w:hAnsi="Times New Roman" w:eastAsia="宋体"/>
          <w:kern w:val="0"/>
          <w:sz w:val="24"/>
          <w:highlight w:val="none"/>
        </w:rPr>
        <w:t>、</w:t>
      </w:r>
      <w:r>
        <w:rPr>
          <w:rFonts w:hint="eastAsia" w:ascii="Times New Roman" w:hAnsi="Times New Roman" w:eastAsia="宋体"/>
          <w:kern w:val="0"/>
          <w:sz w:val="24"/>
          <w:highlight w:val="none"/>
        </w:rPr>
        <w:t>德育综合加分占5%（从博士生入学至奖学金评定截止日期之间获奖可累计加分，但最高分不能超过5分）</w:t>
      </w:r>
    </w:p>
    <w:p>
      <w:pPr>
        <w:widowControl/>
        <w:shd w:val="clear" w:color="auto" w:fill="FFFFFF"/>
        <w:spacing w:line="420" w:lineRule="atLeast"/>
        <w:rPr>
          <w:rFonts w:ascii="Times New Roman" w:hAnsi="Times New Roman" w:eastAsia="宋体"/>
          <w:kern w:val="0"/>
          <w:sz w:val="24"/>
          <w:highlight w:val="none"/>
        </w:rPr>
      </w:pPr>
      <w:r>
        <w:rPr>
          <w:rFonts w:hint="eastAsia" w:ascii="Times New Roman" w:hAnsi="Times New Roman" w:eastAsia="宋体"/>
          <w:color w:val="000000"/>
          <w:kern w:val="0"/>
          <w:sz w:val="24"/>
          <w:highlight w:val="none"/>
        </w:rPr>
        <w:t>（1）</w:t>
      </w:r>
      <w:r>
        <w:rPr>
          <w:rFonts w:hint="eastAsia" w:ascii="Times New Roman" w:hAnsi="Times New Roman" w:eastAsia="宋体"/>
          <w:kern w:val="0"/>
          <w:sz w:val="24"/>
          <w:highlight w:val="none"/>
        </w:rPr>
        <w:t>基础评价（满分</w:t>
      </w:r>
      <w:r>
        <w:rPr>
          <w:rFonts w:ascii="Times New Roman" w:hAnsi="Times New Roman" w:eastAsia="宋体"/>
          <w:kern w:val="0"/>
          <w:sz w:val="24"/>
          <w:highlight w:val="none"/>
        </w:rPr>
        <w:t>3</w:t>
      </w:r>
      <w:r>
        <w:rPr>
          <w:rFonts w:hint="eastAsia" w:ascii="Times New Roman" w:hAnsi="Times New Roman" w:eastAsia="宋体"/>
          <w:kern w:val="0"/>
          <w:sz w:val="24"/>
          <w:highlight w:val="none"/>
        </w:rPr>
        <w:t>分）</w:t>
      </w:r>
    </w:p>
    <w:p>
      <w:pPr>
        <w:widowControl/>
        <w:shd w:val="clear" w:color="auto" w:fill="FFFFFF"/>
        <w:spacing w:line="420" w:lineRule="atLeast"/>
        <w:ind w:firstLine="480" w:firstLineChars="200"/>
        <w:rPr>
          <w:rFonts w:ascii="Times New Roman" w:hAnsi="Times New Roman" w:eastAsia="宋体"/>
          <w:kern w:val="0"/>
          <w:sz w:val="24"/>
          <w:highlight w:val="none"/>
        </w:rPr>
      </w:pPr>
      <w:r>
        <w:rPr>
          <w:rFonts w:hint="eastAsia" w:ascii="Times New Roman" w:hAnsi="Times New Roman" w:eastAsia="宋体"/>
          <w:kern w:val="0"/>
          <w:sz w:val="24"/>
          <w:highlight w:val="none"/>
        </w:rPr>
        <w:t>基础评价标准以学生互评为主等方式进行，应能充分反映研究生的日常德育表现和参加学院以及学校活动等日常表现，并确保基础评价工作的公平、公正、合理。</w:t>
      </w:r>
    </w:p>
    <w:p>
      <w:pPr>
        <w:keepNext w:val="0"/>
        <w:keepLines w:val="0"/>
        <w:pageBreakBefore w:val="0"/>
        <w:widowControl/>
        <w:shd w:val="clear" w:color="auto" w:fill="FFFFFF"/>
        <w:kinsoku/>
        <w:wordWrap/>
        <w:overflowPunct/>
        <w:topLinePunct w:val="0"/>
        <w:autoSpaceDE/>
        <w:autoSpaceDN/>
        <w:bidi w:val="0"/>
        <w:spacing w:line="360" w:lineRule="auto"/>
        <w:textAlignment w:val="auto"/>
        <w:rPr>
          <w:rFonts w:ascii="Times New Roman" w:hAnsi="Times New Roman" w:eastAsia="宋体"/>
          <w:color w:val="000000"/>
          <w:kern w:val="0"/>
          <w:sz w:val="24"/>
          <w:highlight w:val="none"/>
        </w:rPr>
      </w:pPr>
      <w:r>
        <w:rPr>
          <w:rFonts w:hint="eastAsia" w:ascii="Times New Roman" w:hAnsi="Times New Roman" w:eastAsia="宋体"/>
          <w:color w:val="000000"/>
          <w:kern w:val="0"/>
          <w:sz w:val="24"/>
          <w:highlight w:val="none"/>
        </w:rPr>
        <w:t>（2</w:t>
      </w:r>
      <w:r>
        <w:rPr>
          <w:rFonts w:ascii="Times New Roman" w:hAnsi="Times New Roman" w:eastAsia="宋体"/>
          <w:color w:val="000000"/>
          <w:kern w:val="0"/>
          <w:sz w:val="24"/>
          <w:highlight w:val="none"/>
        </w:rPr>
        <w:t>）德育奖励及</w:t>
      </w:r>
      <w:r>
        <w:rPr>
          <w:rFonts w:hint="eastAsia" w:ascii="Times New Roman" w:hAnsi="Times New Roman" w:eastAsia="宋体"/>
          <w:color w:val="000000"/>
          <w:kern w:val="0"/>
          <w:sz w:val="24"/>
          <w:highlight w:val="none"/>
        </w:rPr>
        <w:t>特殊表现</w:t>
      </w:r>
      <w:r>
        <w:rPr>
          <w:rFonts w:ascii="Times New Roman" w:hAnsi="Times New Roman" w:eastAsia="宋体"/>
          <w:color w:val="000000"/>
          <w:kern w:val="0"/>
          <w:sz w:val="24"/>
          <w:highlight w:val="none"/>
        </w:rPr>
        <w:t>加分（满分2分）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ascii="Times New Roman" w:hAnsi="Times New Roman" w:eastAsia="宋体"/>
          <w:color w:val="000000"/>
          <w:kern w:val="0"/>
          <w:sz w:val="24"/>
          <w:highlight w:val="none"/>
        </w:rPr>
      </w:pPr>
      <w:r>
        <w:rPr>
          <w:rFonts w:ascii="Times New Roman" w:hAnsi="Times New Roman" w:eastAsia="宋体"/>
          <w:color w:val="000000"/>
          <w:kern w:val="0"/>
          <w:sz w:val="24"/>
          <w:highlight w:val="none"/>
        </w:rPr>
        <w:t>具体加分奖项、加分分值如下</w:t>
      </w:r>
      <w:r>
        <w:rPr>
          <w:rFonts w:hint="eastAsia" w:ascii="Times New Roman" w:hAnsi="Times New Roman" w:eastAsia="宋体"/>
          <w:color w:val="000000"/>
          <w:kern w:val="0"/>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sz w:val="24"/>
          <w:highlight w:val="none"/>
        </w:rPr>
      </w:pPr>
      <w:r>
        <w:rPr>
          <w:rFonts w:ascii="Times New Roman" w:hAnsi="Times New Roman" w:eastAsia="宋体"/>
          <w:sz w:val="24"/>
          <w:highlight w:val="none"/>
        </w:rPr>
        <w:t>2分：国家级个人、集体荣誉奖励，省级个人荣誉奖励标兵</w:t>
      </w:r>
      <w:r>
        <w:rPr>
          <w:rFonts w:hint="eastAsia" w:ascii="Times New Roman" w:hAnsi="Times New Roman" w:eastAsia="宋体"/>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sz w:val="24"/>
          <w:highlight w:val="none"/>
        </w:rPr>
      </w:pPr>
      <w:r>
        <w:rPr>
          <w:rFonts w:ascii="Times New Roman" w:hAnsi="Times New Roman" w:eastAsia="宋体"/>
          <w:sz w:val="24"/>
          <w:highlight w:val="none"/>
        </w:rPr>
        <w:t>1.75分：省级个人荣誉奖励、省级集体荣誉奖励标兵</w:t>
      </w:r>
      <w:r>
        <w:rPr>
          <w:rFonts w:hint="eastAsia" w:ascii="Times New Roman" w:hAnsi="Times New Roman" w:eastAsia="宋体"/>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sz w:val="24"/>
          <w:highlight w:val="none"/>
        </w:rPr>
      </w:pPr>
      <w:r>
        <w:rPr>
          <w:rFonts w:hint="eastAsia" w:ascii="Times New Roman" w:hAnsi="Times New Roman" w:eastAsia="宋体"/>
          <w:sz w:val="24"/>
          <w:highlight w:val="none"/>
        </w:rPr>
        <w:t>1</w:t>
      </w:r>
      <w:r>
        <w:rPr>
          <w:rFonts w:ascii="Times New Roman" w:hAnsi="Times New Roman" w:eastAsia="宋体"/>
          <w:sz w:val="24"/>
          <w:highlight w:val="none"/>
        </w:rPr>
        <w:t>.5</w:t>
      </w:r>
      <w:r>
        <w:rPr>
          <w:rFonts w:hint="eastAsia" w:ascii="Times New Roman" w:hAnsi="Times New Roman" w:eastAsia="宋体"/>
          <w:sz w:val="24"/>
          <w:highlight w:val="none"/>
        </w:rPr>
        <w:t>分：</w:t>
      </w:r>
      <w:r>
        <w:rPr>
          <w:rFonts w:ascii="Times New Roman" w:hAnsi="Times New Roman" w:eastAsia="宋体"/>
          <w:sz w:val="24"/>
          <w:highlight w:val="none"/>
        </w:rPr>
        <w:t>校级个人荣誉奖励标兵</w:t>
      </w:r>
      <w:r>
        <w:rPr>
          <w:rFonts w:hint="eastAsia" w:ascii="Times New Roman" w:hAnsi="Times New Roman" w:eastAsia="宋体"/>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sz w:val="24"/>
          <w:highlight w:val="none"/>
        </w:rPr>
      </w:pPr>
      <w:r>
        <w:rPr>
          <w:rFonts w:hint="eastAsia" w:ascii="Times New Roman" w:hAnsi="Times New Roman" w:eastAsia="宋体"/>
          <w:sz w:val="24"/>
          <w:highlight w:val="none"/>
        </w:rPr>
        <w:t>1</w:t>
      </w:r>
      <w:r>
        <w:rPr>
          <w:rFonts w:ascii="Times New Roman" w:hAnsi="Times New Roman" w:eastAsia="宋体"/>
          <w:sz w:val="24"/>
          <w:highlight w:val="none"/>
        </w:rPr>
        <w:t>.25</w:t>
      </w:r>
      <w:r>
        <w:rPr>
          <w:rFonts w:hint="eastAsia" w:ascii="Times New Roman" w:hAnsi="Times New Roman" w:eastAsia="宋体"/>
          <w:sz w:val="24"/>
          <w:highlight w:val="none"/>
        </w:rPr>
        <w:t>分：</w:t>
      </w:r>
      <w:r>
        <w:rPr>
          <w:rFonts w:ascii="Times New Roman" w:hAnsi="Times New Roman" w:eastAsia="宋体"/>
          <w:sz w:val="24"/>
          <w:highlight w:val="none"/>
        </w:rPr>
        <w:t>省级集体荣誉奖励</w:t>
      </w:r>
      <w:r>
        <w:rPr>
          <w:rFonts w:hint="eastAsia" w:ascii="Times New Roman" w:hAnsi="Times New Roman" w:eastAsia="宋体"/>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Times New Roman" w:hAnsi="Times New Roman" w:eastAsia="宋体"/>
          <w:sz w:val="24"/>
          <w:highlight w:val="none"/>
        </w:rPr>
      </w:pPr>
      <w:r>
        <w:rPr>
          <w:rFonts w:hint="eastAsia" w:ascii="Times New Roman" w:hAnsi="Times New Roman" w:eastAsia="宋体"/>
          <w:sz w:val="24"/>
          <w:highlight w:val="none"/>
        </w:rPr>
        <w:t>1</w:t>
      </w:r>
      <w:r>
        <w:rPr>
          <w:rFonts w:ascii="Times New Roman" w:hAnsi="Times New Roman" w:eastAsia="宋体"/>
          <w:sz w:val="24"/>
          <w:highlight w:val="none"/>
        </w:rPr>
        <w:t xml:space="preserve">分：校级个人荣誉奖励、校级集体荣誉奖励标兵； </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Times New Roman" w:hAnsi="Times New Roman" w:eastAsia="宋体"/>
          <w:sz w:val="24"/>
          <w:highlight w:val="none"/>
        </w:rPr>
      </w:pPr>
      <w:r>
        <w:rPr>
          <w:rFonts w:ascii="Times New Roman" w:hAnsi="Times New Roman" w:eastAsia="宋体"/>
          <w:sz w:val="24"/>
          <w:highlight w:val="none"/>
        </w:rPr>
        <w:t xml:space="preserve">0.5分：校级集体荣誉奖励； </w:t>
      </w:r>
    </w:p>
    <w:p>
      <w:pPr>
        <w:adjustRightInd w:val="0"/>
        <w:snapToGrid w:val="0"/>
        <w:spacing w:line="360" w:lineRule="auto"/>
        <w:ind w:firstLine="480"/>
        <w:rPr>
          <w:rFonts w:ascii="Times New Roman" w:hAnsi="Times New Roman" w:eastAsia="宋体"/>
          <w:sz w:val="24"/>
          <w:highlight w:val="none"/>
        </w:rPr>
      </w:pPr>
      <w:r>
        <w:rPr>
          <w:rFonts w:hint="eastAsia" w:ascii="Times New Roman" w:hAnsi="Times New Roman" w:eastAsia="宋体"/>
          <w:sz w:val="24"/>
          <w:highlight w:val="none"/>
        </w:rPr>
        <w:t>补充说明：在全校竞争类奖项中（如李昌奖、十佳英才、宝钢奖学金、春晖奖学金等需要到学校参加答辩评选的奖项），获得的个人荣誉奖励按照</w:t>
      </w:r>
      <w:r>
        <w:rPr>
          <w:rFonts w:ascii="Times New Roman" w:hAnsi="Times New Roman" w:eastAsia="宋体"/>
          <w:sz w:val="24"/>
          <w:highlight w:val="none"/>
        </w:rPr>
        <w:t>校级个人荣誉奖励标兵</w:t>
      </w:r>
      <w:r>
        <w:rPr>
          <w:rFonts w:hint="eastAsia" w:ascii="Times New Roman" w:hAnsi="Times New Roman" w:eastAsia="宋体"/>
          <w:sz w:val="24"/>
          <w:highlight w:val="none"/>
        </w:rPr>
        <w:t>进行加分，获得的集体荣誉奖励按照</w:t>
      </w:r>
      <w:r>
        <w:rPr>
          <w:rFonts w:ascii="Times New Roman" w:hAnsi="Times New Roman" w:eastAsia="宋体"/>
          <w:sz w:val="24"/>
          <w:highlight w:val="none"/>
        </w:rPr>
        <w:t>校级</w:t>
      </w:r>
      <w:r>
        <w:rPr>
          <w:rFonts w:hint="eastAsia" w:ascii="Times New Roman" w:hAnsi="Times New Roman" w:eastAsia="宋体"/>
          <w:sz w:val="24"/>
          <w:highlight w:val="none"/>
        </w:rPr>
        <w:t>集体</w:t>
      </w:r>
      <w:r>
        <w:rPr>
          <w:rFonts w:ascii="Times New Roman" w:hAnsi="Times New Roman" w:eastAsia="宋体"/>
          <w:sz w:val="24"/>
          <w:highlight w:val="none"/>
        </w:rPr>
        <w:t>荣誉奖励标兵</w:t>
      </w:r>
      <w:r>
        <w:rPr>
          <w:rFonts w:hint="eastAsia" w:ascii="Times New Roman" w:hAnsi="Times New Roman" w:eastAsia="宋体"/>
          <w:sz w:val="24"/>
          <w:highlight w:val="none"/>
        </w:rPr>
        <w:t>进行加分。</w:t>
      </w:r>
    </w:p>
    <w:p>
      <w:pPr>
        <w:adjustRightInd w:val="0"/>
        <w:snapToGrid w:val="0"/>
        <w:spacing w:line="360" w:lineRule="auto"/>
        <w:ind w:firstLine="480"/>
        <w:rPr>
          <w:rFonts w:ascii="Times New Roman" w:hAnsi="Times New Roman" w:eastAsia="宋体"/>
          <w:sz w:val="24"/>
          <w:highlight w:val="none"/>
        </w:rPr>
      </w:pPr>
      <w:r>
        <w:rPr>
          <w:rFonts w:hint="eastAsia" w:ascii="Times New Roman" w:hAnsi="Times New Roman" w:eastAsia="宋体"/>
          <w:bCs/>
          <w:sz w:val="24"/>
          <w:highlight w:val="none"/>
        </w:rPr>
        <w:t>特殊表现：</w:t>
      </w:r>
      <w:r>
        <w:rPr>
          <w:rFonts w:hint="eastAsia" w:ascii="Times New Roman" w:hAnsi="Times New Roman" w:eastAsia="宋体"/>
          <w:sz w:val="24"/>
          <w:highlight w:val="none"/>
        </w:rPr>
        <w:t>对有见义勇为、拾金不昧等表现，或在某方面做出突出贡献，并引起一定校园、社会反响的学生进行适当加分。此项加分由评委会审议确定结果。德育奖励与特殊表现合并计分，两项总分不超过</w:t>
      </w:r>
      <w:r>
        <w:rPr>
          <w:rFonts w:ascii="Times New Roman" w:hAnsi="Times New Roman" w:eastAsia="宋体"/>
          <w:sz w:val="24"/>
          <w:highlight w:val="none"/>
        </w:rPr>
        <w:t>2</w:t>
      </w:r>
      <w:r>
        <w:rPr>
          <w:rFonts w:hint="eastAsia" w:ascii="Times New Roman" w:hAnsi="Times New Roman" w:eastAsia="宋体"/>
          <w:sz w:val="24"/>
          <w:highlight w:val="none"/>
        </w:rPr>
        <w:t>分。</w:t>
      </w:r>
    </w:p>
    <w:p>
      <w:pPr>
        <w:widowControl/>
        <w:shd w:val="clear" w:color="auto" w:fill="FFFFFF"/>
        <w:spacing w:line="420" w:lineRule="exact"/>
        <w:rPr>
          <w:rFonts w:ascii="Times New Roman" w:hAnsi="Times New Roman" w:eastAsia="宋体"/>
          <w:color w:val="000000"/>
          <w:kern w:val="0"/>
          <w:sz w:val="24"/>
          <w:highlight w:val="none"/>
        </w:rPr>
      </w:pPr>
      <w:r>
        <w:rPr>
          <w:rFonts w:hint="eastAsia" w:ascii="Times New Roman" w:hAnsi="Times New Roman" w:eastAsia="宋体"/>
          <w:color w:val="000000"/>
          <w:kern w:val="0"/>
          <w:sz w:val="24"/>
          <w:highlight w:val="none"/>
        </w:rPr>
        <w:t>4、科技竞赛加分</w:t>
      </w:r>
      <w:r>
        <w:rPr>
          <w:rFonts w:hint="eastAsia" w:ascii="Times New Roman" w:hAnsi="Times New Roman" w:eastAsia="宋体"/>
          <w:kern w:val="0"/>
          <w:sz w:val="24"/>
          <w:highlight w:val="none"/>
        </w:rPr>
        <w:t>占5%</w:t>
      </w:r>
    </w:p>
    <w:p>
      <w:pPr>
        <w:widowControl/>
        <w:shd w:val="clear" w:color="auto" w:fill="FFFFFF"/>
        <w:spacing w:after="240" w:line="420" w:lineRule="exact"/>
        <w:ind w:firstLine="480" w:firstLineChars="200"/>
        <w:rPr>
          <w:rFonts w:ascii="Times New Roman" w:hAnsi="Times New Roman" w:eastAsia="宋体"/>
          <w:color w:val="000000"/>
          <w:kern w:val="0"/>
          <w:sz w:val="24"/>
          <w:highlight w:val="none"/>
        </w:rPr>
      </w:pPr>
      <w:r>
        <w:rPr>
          <w:rFonts w:hint="eastAsia" w:ascii="Times New Roman" w:hAnsi="Times New Roman" w:eastAsia="宋体"/>
          <w:color w:val="000000"/>
          <w:kern w:val="0"/>
          <w:sz w:val="24"/>
          <w:highlight w:val="none"/>
        </w:rPr>
        <w:t>研究生在校期间参加科技竞赛获奖予以相应加分，科技竞赛加分可累加，</w:t>
      </w:r>
      <w:r>
        <w:rPr>
          <w:rFonts w:ascii="Times New Roman" w:hAnsi="Times New Roman" w:eastAsia="宋体"/>
          <w:color w:val="000000"/>
          <w:kern w:val="0"/>
          <w:sz w:val="24"/>
          <w:highlight w:val="none"/>
        </w:rPr>
        <w:t>具体加分奖项、加分分值如下</w:t>
      </w:r>
      <w:r>
        <w:rPr>
          <w:rFonts w:hint="eastAsia" w:ascii="Times New Roman" w:hAnsi="Times New Roman" w:eastAsia="宋体"/>
          <w:color w:val="000000"/>
          <w:kern w:val="0"/>
          <w:sz w:val="24"/>
          <w:highlight w:val="none"/>
        </w:rPr>
        <w:t>：</w:t>
      </w:r>
    </w:p>
    <w:p>
      <w:pPr>
        <w:adjustRightInd w:val="0"/>
        <w:snapToGrid w:val="0"/>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5分：</w:t>
      </w:r>
      <w:r>
        <w:rPr>
          <w:rFonts w:hint="eastAsia" w:ascii="Times New Roman" w:hAnsi="Times New Roman" w:eastAsia="宋体"/>
          <w:sz w:val="24"/>
          <w:highlight w:val="none"/>
        </w:rPr>
        <w:t>科技竞赛</w:t>
      </w:r>
      <w:r>
        <w:rPr>
          <w:rFonts w:ascii="Times New Roman" w:hAnsi="Times New Roman" w:eastAsia="宋体"/>
          <w:sz w:val="24"/>
          <w:highlight w:val="none"/>
        </w:rPr>
        <w:t>国家级一等奖</w:t>
      </w:r>
      <w:r>
        <w:rPr>
          <w:rFonts w:hint="eastAsia" w:ascii="Times New Roman" w:hAnsi="Times New Roman" w:eastAsia="宋体"/>
          <w:sz w:val="24"/>
          <w:highlight w:val="none"/>
        </w:rPr>
        <w:t>；</w:t>
      </w:r>
    </w:p>
    <w:p>
      <w:pPr>
        <w:adjustRightInd w:val="0"/>
        <w:snapToGrid w:val="0"/>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4分：科技竞赛国家级二等奖，省级一等奖</w:t>
      </w:r>
      <w:r>
        <w:rPr>
          <w:rFonts w:hint="eastAsia" w:ascii="Times New Roman" w:hAnsi="Times New Roman" w:eastAsia="宋体"/>
          <w:sz w:val="24"/>
          <w:highlight w:val="none"/>
        </w:rPr>
        <w:t>；</w:t>
      </w:r>
    </w:p>
    <w:p>
      <w:pPr>
        <w:adjustRightInd w:val="0"/>
        <w:snapToGrid w:val="0"/>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3分：科技竞赛国家级</w:t>
      </w:r>
      <w:r>
        <w:rPr>
          <w:rFonts w:hint="eastAsia" w:ascii="Times New Roman" w:hAnsi="Times New Roman" w:eastAsia="宋体"/>
          <w:sz w:val="24"/>
          <w:highlight w:val="none"/>
        </w:rPr>
        <w:t>三</w:t>
      </w:r>
      <w:r>
        <w:rPr>
          <w:rFonts w:ascii="Times New Roman" w:hAnsi="Times New Roman" w:eastAsia="宋体"/>
          <w:sz w:val="24"/>
          <w:highlight w:val="none"/>
        </w:rPr>
        <w:t>等奖</w:t>
      </w:r>
      <w:r>
        <w:rPr>
          <w:rFonts w:hint="eastAsia" w:ascii="Times New Roman" w:hAnsi="Times New Roman" w:eastAsia="宋体"/>
          <w:sz w:val="24"/>
          <w:highlight w:val="none"/>
        </w:rPr>
        <w:t>，</w:t>
      </w:r>
      <w:r>
        <w:rPr>
          <w:rFonts w:ascii="Times New Roman" w:hAnsi="Times New Roman" w:eastAsia="宋体"/>
          <w:sz w:val="24"/>
          <w:highlight w:val="none"/>
        </w:rPr>
        <w:t>省级二等奖，校级一等奖</w:t>
      </w:r>
      <w:r>
        <w:rPr>
          <w:rFonts w:hint="eastAsia" w:ascii="Times New Roman" w:hAnsi="Times New Roman" w:eastAsia="宋体"/>
          <w:sz w:val="24"/>
          <w:highlight w:val="none"/>
        </w:rPr>
        <w:t>；</w:t>
      </w:r>
    </w:p>
    <w:p>
      <w:pPr>
        <w:adjustRightInd w:val="0"/>
        <w:snapToGrid w:val="0"/>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2分：科技竞赛省级</w:t>
      </w:r>
      <w:r>
        <w:rPr>
          <w:rFonts w:hint="eastAsia" w:ascii="Times New Roman" w:hAnsi="Times New Roman" w:eastAsia="宋体"/>
          <w:sz w:val="24"/>
          <w:highlight w:val="none"/>
        </w:rPr>
        <w:t>三</w:t>
      </w:r>
      <w:r>
        <w:rPr>
          <w:rFonts w:ascii="Times New Roman" w:hAnsi="Times New Roman" w:eastAsia="宋体"/>
          <w:sz w:val="24"/>
          <w:highlight w:val="none"/>
        </w:rPr>
        <w:t>等奖</w:t>
      </w:r>
      <w:r>
        <w:rPr>
          <w:rFonts w:hint="eastAsia" w:ascii="Times New Roman" w:hAnsi="Times New Roman" w:eastAsia="宋体"/>
          <w:sz w:val="24"/>
          <w:highlight w:val="none"/>
        </w:rPr>
        <w:t>，</w:t>
      </w:r>
      <w:r>
        <w:rPr>
          <w:rFonts w:ascii="Times New Roman" w:hAnsi="Times New Roman" w:eastAsia="宋体"/>
          <w:sz w:val="24"/>
          <w:highlight w:val="none"/>
        </w:rPr>
        <w:t>校级二等奖</w:t>
      </w:r>
      <w:r>
        <w:rPr>
          <w:rFonts w:hint="eastAsia" w:ascii="Times New Roman" w:hAnsi="Times New Roman" w:eastAsia="宋体"/>
          <w:sz w:val="24"/>
          <w:highlight w:val="none"/>
        </w:rPr>
        <w:t>；</w:t>
      </w:r>
    </w:p>
    <w:p>
      <w:pPr>
        <w:adjustRightInd w:val="0"/>
        <w:snapToGrid w:val="0"/>
        <w:spacing w:line="360" w:lineRule="auto"/>
        <w:ind w:firstLine="480" w:firstLineChars="200"/>
        <w:rPr>
          <w:rFonts w:hint="eastAsia" w:ascii="Times New Roman" w:hAnsi="Times New Roman" w:eastAsia="宋体"/>
          <w:sz w:val="24"/>
          <w:highlight w:val="none"/>
        </w:rPr>
      </w:pPr>
      <w:r>
        <w:rPr>
          <w:rFonts w:ascii="Times New Roman" w:hAnsi="Times New Roman" w:eastAsia="宋体"/>
          <w:sz w:val="24"/>
          <w:highlight w:val="none"/>
        </w:rPr>
        <w:t>1</w:t>
      </w:r>
      <w:r>
        <w:rPr>
          <w:rFonts w:hint="eastAsia" w:ascii="Times New Roman" w:hAnsi="Times New Roman" w:eastAsia="宋体"/>
          <w:sz w:val="24"/>
          <w:highlight w:val="none"/>
        </w:rPr>
        <w:t>分：</w:t>
      </w:r>
      <w:r>
        <w:rPr>
          <w:rFonts w:ascii="Times New Roman" w:hAnsi="Times New Roman" w:eastAsia="宋体"/>
          <w:sz w:val="24"/>
          <w:highlight w:val="none"/>
        </w:rPr>
        <w:t>科技竞赛校级</w:t>
      </w:r>
      <w:r>
        <w:rPr>
          <w:rFonts w:hint="eastAsia" w:ascii="Times New Roman" w:hAnsi="Times New Roman" w:eastAsia="宋体"/>
          <w:sz w:val="24"/>
          <w:highlight w:val="none"/>
        </w:rPr>
        <w:t>三</w:t>
      </w:r>
      <w:r>
        <w:rPr>
          <w:rFonts w:ascii="Times New Roman" w:hAnsi="Times New Roman" w:eastAsia="宋体"/>
          <w:sz w:val="24"/>
          <w:highlight w:val="none"/>
        </w:rPr>
        <w:t>等奖</w:t>
      </w:r>
      <w:r>
        <w:rPr>
          <w:rFonts w:hint="eastAsia" w:ascii="Times New Roman" w:hAnsi="Times New Roman" w:eastAsia="宋体"/>
          <w:sz w:val="24"/>
          <w:highlight w:val="none"/>
        </w:rPr>
        <w:t>。</w:t>
      </w:r>
    </w:p>
    <w:p>
      <w:pPr>
        <w:keepNext w:val="0"/>
        <w:keepLines w:val="0"/>
        <w:pageBreakBefore w:val="0"/>
        <w:kinsoku/>
        <w:wordWrap/>
        <w:overflowPunct/>
        <w:topLinePunct w:val="0"/>
        <w:autoSpaceDE/>
        <w:autoSpaceDN/>
        <w:bidi w:val="0"/>
        <w:adjustRightInd w:val="0"/>
        <w:snapToGrid w:val="0"/>
        <w:spacing w:line="276" w:lineRule="auto"/>
        <w:textAlignment w:val="auto"/>
        <w:rPr>
          <w:rFonts w:ascii="Times New Roman" w:hAnsi="Times New Roman" w:eastAsia="宋体"/>
          <w:bCs/>
          <w:color w:val="000000"/>
          <w:kern w:val="0"/>
          <w:sz w:val="24"/>
          <w:highlight w:val="none"/>
        </w:rPr>
      </w:pPr>
      <w:r>
        <w:rPr>
          <w:rFonts w:ascii="Times New Roman" w:hAnsi="Times New Roman" w:eastAsia="宋体"/>
          <w:b/>
          <w:bCs/>
          <w:color w:val="000000"/>
          <w:kern w:val="0"/>
          <w:sz w:val="24"/>
          <w:highlight w:val="none"/>
        </w:rPr>
        <w:t>注</w:t>
      </w:r>
      <w:r>
        <w:rPr>
          <w:rFonts w:ascii="Times New Roman" w:hAnsi="Times New Roman" w:eastAsia="宋体"/>
          <w:bCs/>
          <w:color w:val="000000"/>
          <w:kern w:val="0"/>
          <w:sz w:val="24"/>
          <w:highlight w:val="none"/>
        </w:rPr>
        <w:t>：</w:t>
      </w:r>
    </w:p>
    <w:p>
      <w:pPr>
        <w:keepNext w:val="0"/>
        <w:keepLines w:val="0"/>
        <w:pageBreakBefore w:val="0"/>
        <w:widowControl/>
        <w:shd w:val="clear" w:color="auto" w:fill="FFFFFF"/>
        <w:kinsoku/>
        <w:wordWrap/>
        <w:overflowPunct/>
        <w:topLinePunct w:val="0"/>
        <w:autoSpaceDE/>
        <w:autoSpaceDN/>
        <w:bidi w:val="0"/>
        <w:spacing w:line="276" w:lineRule="auto"/>
        <w:textAlignment w:val="auto"/>
        <w:rPr>
          <w:rFonts w:ascii="Times New Roman" w:hAnsi="Times New Roman" w:eastAsia="宋体"/>
          <w:bCs/>
          <w:color w:val="000000"/>
          <w:kern w:val="0"/>
          <w:sz w:val="24"/>
          <w:highlight w:val="none"/>
        </w:rPr>
      </w:pPr>
      <w:r>
        <w:rPr>
          <w:rFonts w:ascii="Times New Roman" w:hAnsi="Times New Roman" w:eastAsia="宋体"/>
          <w:bCs/>
          <w:color w:val="000000"/>
          <w:kern w:val="0"/>
          <w:sz w:val="24"/>
          <w:highlight w:val="none"/>
        </w:rPr>
        <w:t>1）能源学院2020年研究生国家奖学金评定时参考的各级竞赛项目，依据《哈尔滨工业大学大学生科技竞赛活动管理办法》进行相关认定</w:t>
      </w:r>
      <w:r>
        <w:rPr>
          <w:rFonts w:hint="eastAsia" w:ascii="Times New Roman" w:hAnsi="Times New Roman" w:eastAsia="宋体"/>
          <w:bCs/>
          <w:color w:val="000000"/>
          <w:kern w:val="0"/>
          <w:sz w:val="24"/>
          <w:highlight w:val="none"/>
        </w:rPr>
        <w:t>；</w:t>
      </w:r>
    </w:p>
    <w:p>
      <w:pPr>
        <w:keepNext w:val="0"/>
        <w:keepLines w:val="0"/>
        <w:pageBreakBefore w:val="0"/>
        <w:widowControl/>
        <w:shd w:val="clear" w:color="auto" w:fill="FFFFFF"/>
        <w:kinsoku/>
        <w:wordWrap/>
        <w:overflowPunct/>
        <w:topLinePunct w:val="0"/>
        <w:autoSpaceDE/>
        <w:autoSpaceDN/>
        <w:bidi w:val="0"/>
        <w:spacing w:line="276" w:lineRule="auto"/>
        <w:textAlignment w:val="auto"/>
        <w:rPr>
          <w:rFonts w:ascii="Times New Roman" w:hAnsi="Times New Roman" w:eastAsia="宋体"/>
          <w:bCs/>
          <w:color w:val="000000"/>
          <w:kern w:val="0"/>
          <w:sz w:val="24"/>
          <w:highlight w:val="none"/>
        </w:rPr>
      </w:pPr>
      <w:r>
        <w:rPr>
          <w:rFonts w:hint="eastAsia" w:ascii="Times New Roman" w:hAnsi="Times New Roman" w:eastAsia="宋体"/>
          <w:bCs/>
          <w:color w:val="000000"/>
          <w:kern w:val="0"/>
          <w:sz w:val="24"/>
          <w:highlight w:val="none"/>
        </w:rPr>
        <w:t>2）</w:t>
      </w:r>
      <w:r>
        <w:rPr>
          <w:rFonts w:ascii="Times New Roman" w:hAnsi="Times New Roman" w:eastAsia="宋体"/>
          <w:bCs/>
          <w:color w:val="000000"/>
          <w:kern w:val="0"/>
          <w:sz w:val="24"/>
          <w:highlight w:val="none"/>
        </w:rPr>
        <w:t>科技竞赛</w:t>
      </w:r>
      <w:r>
        <w:rPr>
          <w:rFonts w:hint="eastAsia" w:ascii="Times New Roman" w:hAnsi="Times New Roman" w:eastAsia="宋体"/>
          <w:bCs/>
          <w:color w:val="000000"/>
          <w:kern w:val="0"/>
          <w:sz w:val="24"/>
          <w:highlight w:val="none"/>
        </w:rPr>
        <w:t>取前三</w:t>
      </w:r>
      <w:r>
        <w:rPr>
          <w:rFonts w:ascii="Times New Roman" w:hAnsi="Times New Roman" w:eastAsia="宋体"/>
          <w:bCs/>
          <w:color w:val="000000"/>
          <w:kern w:val="0"/>
          <w:sz w:val="24"/>
          <w:highlight w:val="none"/>
        </w:rPr>
        <w:t>完成人</w:t>
      </w:r>
      <w:r>
        <w:rPr>
          <w:rFonts w:hint="eastAsia" w:ascii="Times New Roman" w:hAnsi="Times New Roman" w:eastAsia="宋体"/>
          <w:bCs/>
          <w:color w:val="000000"/>
          <w:kern w:val="0"/>
          <w:sz w:val="24"/>
          <w:highlight w:val="none"/>
        </w:rPr>
        <w:t>，其中第一完成人按此表加分，第二完成人减少1分，第三完成人减少2分，此项加分递减至零分为止；</w:t>
      </w:r>
    </w:p>
    <w:p>
      <w:pPr>
        <w:keepNext w:val="0"/>
        <w:keepLines w:val="0"/>
        <w:pageBreakBefore w:val="0"/>
        <w:widowControl/>
        <w:shd w:val="clear" w:color="auto" w:fill="FFFFFF"/>
        <w:kinsoku/>
        <w:wordWrap/>
        <w:overflowPunct/>
        <w:topLinePunct w:val="0"/>
        <w:autoSpaceDE/>
        <w:autoSpaceDN/>
        <w:bidi w:val="0"/>
        <w:spacing w:line="276" w:lineRule="auto"/>
        <w:textAlignment w:val="auto"/>
        <w:rPr>
          <w:rFonts w:ascii="Times New Roman" w:hAnsi="Times New Roman" w:eastAsia="宋体"/>
          <w:bCs/>
          <w:color w:val="000000"/>
          <w:kern w:val="0"/>
          <w:sz w:val="24"/>
          <w:highlight w:val="none"/>
        </w:rPr>
      </w:pPr>
      <w:r>
        <w:rPr>
          <w:rFonts w:ascii="Times New Roman" w:hAnsi="Times New Roman" w:eastAsia="宋体"/>
          <w:bCs/>
          <w:color w:val="000000"/>
          <w:kern w:val="0"/>
          <w:sz w:val="24"/>
          <w:highlight w:val="none"/>
        </w:rPr>
        <w:t>3）需提供荣誉证书复印件。</w:t>
      </w:r>
    </w:p>
    <w:p>
      <w:pPr>
        <w:widowControl/>
        <w:shd w:val="clear" w:color="auto" w:fill="FFFFFF"/>
        <w:spacing w:line="420" w:lineRule="atLeast"/>
        <w:rPr>
          <w:rFonts w:ascii="Times New Roman" w:hAnsi="Times New Roman" w:eastAsia="宋体"/>
          <w:kern w:val="0"/>
          <w:sz w:val="24"/>
          <w:highlight w:val="none"/>
        </w:rPr>
      </w:pPr>
      <w:r>
        <w:rPr>
          <w:rFonts w:hint="eastAsia" w:ascii="Times New Roman" w:hAnsi="Times New Roman" w:eastAsia="宋体"/>
          <w:kern w:val="0"/>
          <w:sz w:val="24"/>
          <w:highlight w:val="none"/>
        </w:rPr>
        <w:t>5、发表论文及其它成果加分占6</w:t>
      </w:r>
      <w:r>
        <w:rPr>
          <w:rFonts w:ascii="Times New Roman" w:hAnsi="Times New Roman" w:eastAsia="宋体"/>
          <w:kern w:val="0"/>
          <w:sz w:val="24"/>
          <w:highlight w:val="none"/>
        </w:rPr>
        <w:t>0</w:t>
      </w:r>
      <w:r>
        <w:rPr>
          <w:rFonts w:hint="eastAsia" w:ascii="Times New Roman" w:hAnsi="Times New Roman" w:eastAsia="宋体"/>
          <w:kern w:val="0"/>
          <w:sz w:val="24"/>
          <w:highlight w:val="none"/>
        </w:rPr>
        <w:t>%或更多（可累计加分）</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left="0" w:firstLine="480" w:firstLineChars="200"/>
        <w:textAlignment w:val="auto"/>
        <w:rPr>
          <w:rFonts w:ascii="Times New Roman" w:hAnsi="Times New Roman" w:eastAsia="宋体"/>
          <w:kern w:val="0"/>
          <w:sz w:val="24"/>
          <w:highlight w:val="none"/>
        </w:rPr>
      </w:pPr>
      <w:r>
        <w:rPr>
          <w:rFonts w:hint="eastAsia" w:ascii="Times New Roman" w:hAnsi="Times New Roman" w:eastAsia="宋体"/>
          <w:kern w:val="0"/>
          <w:sz w:val="24"/>
          <w:highlight w:val="none"/>
        </w:rPr>
        <w:t>研究生在校期间，在国际、国内各类学术期刊发表论文以及获得专利和软件著作权等，予以相应加分，可累计加分。加分分值见下表：</w:t>
      </w:r>
    </w:p>
    <w:p>
      <w:pPr>
        <w:widowControl/>
        <w:shd w:val="clear" w:color="auto" w:fill="FFFFFF"/>
        <w:spacing w:after="240" w:line="420" w:lineRule="atLeast"/>
        <w:rPr>
          <w:rFonts w:ascii="Times New Roman" w:hAnsi="Times New Roman" w:eastAsia="宋体"/>
          <w:b w:val="0"/>
          <w:bCs/>
          <w:kern w:val="0"/>
          <w:sz w:val="24"/>
          <w:highlight w:val="none"/>
        </w:rPr>
      </w:pPr>
      <w:r>
        <w:rPr>
          <w:rFonts w:hint="eastAsia" w:ascii="Times New Roman" w:hAnsi="Times New Roman" w:eastAsia="宋体"/>
          <w:b w:val="0"/>
          <w:bCs/>
          <w:kern w:val="0"/>
          <w:sz w:val="24"/>
          <w:highlight w:val="none"/>
        </w:rPr>
        <w:t>（1）论文加分</w:t>
      </w:r>
    </w:p>
    <w:tbl>
      <w:tblPr>
        <w:tblStyle w:val="7"/>
        <w:tblW w:w="8018" w:type="dxa"/>
        <w:jc w:val="center"/>
        <w:tblLayout w:type="autofit"/>
        <w:tblCellMar>
          <w:top w:w="0" w:type="dxa"/>
          <w:left w:w="0" w:type="dxa"/>
          <w:bottom w:w="0" w:type="dxa"/>
          <w:right w:w="0" w:type="dxa"/>
        </w:tblCellMar>
      </w:tblPr>
      <w:tblGrid>
        <w:gridCol w:w="1188"/>
        <w:gridCol w:w="792"/>
        <w:gridCol w:w="3118"/>
        <w:gridCol w:w="851"/>
        <w:gridCol w:w="1134"/>
        <w:gridCol w:w="935"/>
      </w:tblGrid>
      <w:tr>
        <w:tblPrEx>
          <w:tblCellMar>
            <w:top w:w="0" w:type="dxa"/>
            <w:left w:w="0" w:type="dxa"/>
            <w:bottom w:w="0" w:type="dxa"/>
            <w:right w:w="0" w:type="dxa"/>
          </w:tblCellMar>
        </w:tblPrEx>
        <w:trPr>
          <w:trHeight w:val="375" w:hRule="atLeast"/>
          <w:jc w:val="center"/>
        </w:trPr>
        <w:tc>
          <w:tcPr>
            <w:tcW w:w="8018" w:type="dxa"/>
            <w:gridSpan w:val="6"/>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SCI顶级期刊</w:t>
            </w:r>
          </w:p>
        </w:tc>
      </w:tr>
      <w:tr>
        <w:tblPrEx>
          <w:tblCellMar>
            <w:top w:w="0" w:type="dxa"/>
            <w:left w:w="0" w:type="dxa"/>
            <w:bottom w:w="0" w:type="dxa"/>
            <w:right w:w="0" w:type="dxa"/>
          </w:tblCellMar>
        </w:tblPrEx>
        <w:trPr>
          <w:trHeight w:val="375" w:hRule="atLeast"/>
          <w:jc w:val="center"/>
        </w:trPr>
        <w:tc>
          <w:tcPr>
            <w:tcW w:w="118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第一作者</w:t>
            </w:r>
          </w:p>
        </w:tc>
        <w:tc>
          <w:tcPr>
            <w:tcW w:w="792"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15分</w:t>
            </w:r>
          </w:p>
        </w:tc>
        <w:tc>
          <w:tcPr>
            <w:tcW w:w="3118"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第二作者</w:t>
            </w:r>
          </w:p>
        </w:tc>
        <w:tc>
          <w:tcPr>
            <w:tcW w:w="851"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7.5分</w:t>
            </w:r>
          </w:p>
        </w:tc>
        <w:tc>
          <w:tcPr>
            <w:tcW w:w="1134"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其他作者</w:t>
            </w:r>
          </w:p>
        </w:tc>
        <w:tc>
          <w:tcPr>
            <w:tcW w:w="935"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3分</w:t>
            </w:r>
          </w:p>
        </w:tc>
      </w:tr>
      <w:tr>
        <w:tblPrEx>
          <w:tblCellMar>
            <w:top w:w="0" w:type="dxa"/>
            <w:left w:w="0" w:type="dxa"/>
            <w:bottom w:w="0" w:type="dxa"/>
            <w:right w:w="0" w:type="dxa"/>
          </w:tblCellMar>
        </w:tblPrEx>
        <w:trPr>
          <w:trHeight w:val="375" w:hRule="atLeast"/>
          <w:jc w:val="center"/>
        </w:trPr>
        <w:tc>
          <w:tcPr>
            <w:tcW w:w="8018" w:type="dxa"/>
            <w:gridSpan w:val="6"/>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color w:val="000000" w:themeColor="text1"/>
                <w:kern w:val="0"/>
                <w:sz w:val="21"/>
                <w:szCs w:val="21"/>
                <w:highlight w:val="none"/>
                <w14:textFill>
                  <w14:solidFill>
                    <w14:schemeClr w14:val="tx1"/>
                  </w14:solidFill>
                </w14:textFill>
              </w:rPr>
            </w:pPr>
            <w:r>
              <w:rPr>
                <w:rFonts w:ascii="Times New Roman" w:hAnsi="Times New Roman" w:eastAsia="宋体"/>
                <w:color w:val="000000" w:themeColor="text1"/>
                <w:kern w:val="0"/>
                <w:sz w:val="21"/>
                <w:szCs w:val="21"/>
                <w:highlight w:val="none"/>
                <w14:textFill>
                  <w14:solidFill>
                    <w14:schemeClr w14:val="tx1"/>
                  </w14:solidFill>
                </w14:textFill>
              </w:rPr>
              <w:t>SCI知名期刊</w:t>
            </w:r>
            <w:r>
              <w:rPr>
                <w:rFonts w:hint="eastAsia" w:ascii="Times New Roman" w:hAnsi="Times New Roman" w:eastAsia="宋体"/>
                <w:color w:val="000000" w:themeColor="text1"/>
                <w:kern w:val="0"/>
                <w:sz w:val="21"/>
                <w:szCs w:val="21"/>
                <w:highlight w:val="none"/>
                <w14:textFill>
                  <w14:solidFill>
                    <w14:schemeClr w14:val="tx1"/>
                  </w14:solidFill>
                </w14:textFill>
              </w:rPr>
              <w:t>、动力工程及工程热物理学科业界公认的国际顶级或重要科技期刊</w:t>
            </w:r>
          </w:p>
        </w:tc>
      </w:tr>
      <w:tr>
        <w:tblPrEx>
          <w:tblCellMar>
            <w:top w:w="0" w:type="dxa"/>
            <w:left w:w="0" w:type="dxa"/>
            <w:bottom w:w="0" w:type="dxa"/>
            <w:right w:w="0" w:type="dxa"/>
          </w:tblCellMar>
        </w:tblPrEx>
        <w:trPr>
          <w:trHeight w:val="375" w:hRule="atLeast"/>
          <w:jc w:val="center"/>
        </w:trPr>
        <w:tc>
          <w:tcPr>
            <w:tcW w:w="118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第一作者</w:t>
            </w:r>
          </w:p>
        </w:tc>
        <w:tc>
          <w:tcPr>
            <w:tcW w:w="792"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10分</w:t>
            </w:r>
          </w:p>
        </w:tc>
        <w:tc>
          <w:tcPr>
            <w:tcW w:w="3118"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第二作者（导师为第一作者）</w:t>
            </w:r>
          </w:p>
        </w:tc>
        <w:tc>
          <w:tcPr>
            <w:tcW w:w="2920" w:type="dxa"/>
            <w:gridSpan w:val="3"/>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5分</w:t>
            </w:r>
          </w:p>
        </w:tc>
      </w:tr>
      <w:tr>
        <w:tblPrEx>
          <w:tblCellMar>
            <w:top w:w="0" w:type="dxa"/>
            <w:left w:w="0" w:type="dxa"/>
            <w:bottom w:w="0" w:type="dxa"/>
            <w:right w:w="0" w:type="dxa"/>
          </w:tblCellMar>
        </w:tblPrEx>
        <w:trPr>
          <w:trHeight w:val="375" w:hRule="atLeast"/>
          <w:jc w:val="center"/>
        </w:trPr>
        <w:tc>
          <w:tcPr>
            <w:tcW w:w="8018" w:type="dxa"/>
            <w:gridSpan w:val="6"/>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SCI论文、重要国内综合类期刊</w:t>
            </w:r>
          </w:p>
        </w:tc>
      </w:tr>
      <w:tr>
        <w:tblPrEx>
          <w:tblCellMar>
            <w:top w:w="0" w:type="dxa"/>
            <w:left w:w="0" w:type="dxa"/>
            <w:bottom w:w="0" w:type="dxa"/>
            <w:right w:w="0" w:type="dxa"/>
          </w:tblCellMar>
        </w:tblPrEx>
        <w:trPr>
          <w:trHeight w:val="375" w:hRule="atLeast"/>
          <w:jc w:val="center"/>
        </w:trPr>
        <w:tc>
          <w:tcPr>
            <w:tcW w:w="118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第一作者</w:t>
            </w:r>
          </w:p>
        </w:tc>
        <w:tc>
          <w:tcPr>
            <w:tcW w:w="792"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6分</w:t>
            </w:r>
          </w:p>
        </w:tc>
        <w:tc>
          <w:tcPr>
            <w:tcW w:w="3118"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第二作者（导师为第一作者）</w:t>
            </w:r>
          </w:p>
        </w:tc>
        <w:tc>
          <w:tcPr>
            <w:tcW w:w="2920" w:type="dxa"/>
            <w:gridSpan w:val="3"/>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3分</w:t>
            </w:r>
          </w:p>
        </w:tc>
      </w:tr>
      <w:tr>
        <w:tblPrEx>
          <w:tblCellMar>
            <w:top w:w="0" w:type="dxa"/>
            <w:left w:w="0" w:type="dxa"/>
            <w:bottom w:w="0" w:type="dxa"/>
            <w:right w:w="0" w:type="dxa"/>
          </w:tblCellMar>
        </w:tblPrEx>
        <w:trPr>
          <w:trHeight w:val="375" w:hRule="atLeast"/>
          <w:jc w:val="center"/>
        </w:trPr>
        <w:tc>
          <w:tcPr>
            <w:tcW w:w="8018" w:type="dxa"/>
            <w:gridSpan w:val="6"/>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EI期刊论文、本学科重要国内一级刊物</w:t>
            </w:r>
          </w:p>
        </w:tc>
      </w:tr>
      <w:tr>
        <w:tblPrEx>
          <w:tblCellMar>
            <w:top w:w="0" w:type="dxa"/>
            <w:left w:w="0" w:type="dxa"/>
            <w:bottom w:w="0" w:type="dxa"/>
            <w:right w:w="0" w:type="dxa"/>
          </w:tblCellMar>
        </w:tblPrEx>
        <w:trPr>
          <w:trHeight w:val="375" w:hRule="atLeast"/>
          <w:jc w:val="center"/>
        </w:trPr>
        <w:tc>
          <w:tcPr>
            <w:tcW w:w="118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第一作者</w:t>
            </w:r>
          </w:p>
        </w:tc>
        <w:tc>
          <w:tcPr>
            <w:tcW w:w="792"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4分</w:t>
            </w:r>
          </w:p>
        </w:tc>
        <w:tc>
          <w:tcPr>
            <w:tcW w:w="3118"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第二作者（导师为第一作者）</w:t>
            </w:r>
          </w:p>
        </w:tc>
        <w:tc>
          <w:tcPr>
            <w:tcW w:w="2920" w:type="dxa"/>
            <w:gridSpan w:val="3"/>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2分</w:t>
            </w:r>
          </w:p>
        </w:tc>
      </w:tr>
      <w:tr>
        <w:tblPrEx>
          <w:tblCellMar>
            <w:top w:w="0" w:type="dxa"/>
            <w:left w:w="0" w:type="dxa"/>
            <w:bottom w:w="0" w:type="dxa"/>
            <w:right w:w="0" w:type="dxa"/>
          </w:tblCellMar>
        </w:tblPrEx>
        <w:trPr>
          <w:trHeight w:val="375" w:hRule="atLeast"/>
          <w:jc w:val="center"/>
        </w:trPr>
        <w:tc>
          <w:tcPr>
            <w:tcW w:w="8018" w:type="dxa"/>
            <w:gridSpan w:val="6"/>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国内核心刊物、国际会议（包括EI收录）</w:t>
            </w:r>
          </w:p>
        </w:tc>
      </w:tr>
      <w:tr>
        <w:tblPrEx>
          <w:tblCellMar>
            <w:top w:w="0" w:type="dxa"/>
            <w:left w:w="0" w:type="dxa"/>
            <w:bottom w:w="0" w:type="dxa"/>
            <w:right w:w="0" w:type="dxa"/>
          </w:tblCellMar>
        </w:tblPrEx>
        <w:trPr>
          <w:trHeight w:val="375" w:hRule="atLeast"/>
          <w:jc w:val="center"/>
        </w:trPr>
        <w:tc>
          <w:tcPr>
            <w:tcW w:w="118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第一作者</w:t>
            </w:r>
          </w:p>
        </w:tc>
        <w:tc>
          <w:tcPr>
            <w:tcW w:w="792"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2分</w:t>
            </w:r>
          </w:p>
        </w:tc>
        <w:tc>
          <w:tcPr>
            <w:tcW w:w="6038" w:type="dxa"/>
            <w:gridSpan w:val="4"/>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p>
        </w:tc>
      </w:tr>
      <w:tr>
        <w:tblPrEx>
          <w:tblCellMar>
            <w:top w:w="0" w:type="dxa"/>
            <w:left w:w="0" w:type="dxa"/>
            <w:bottom w:w="0" w:type="dxa"/>
            <w:right w:w="0" w:type="dxa"/>
          </w:tblCellMar>
        </w:tblPrEx>
        <w:trPr>
          <w:trHeight w:val="375" w:hRule="atLeast"/>
          <w:jc w:val="center"/>
        </w:trPr>
        <w:tc>
          <w:tcPr>
            <w:tcW w:w="8018" w:type="dxa"/>
            <w:gridSpan w:val="6"/>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国内会议</w:t>
            </w:r>
          </w:p>
        </w:tc>
      </w:tr>
      <w:tr>
        <w:tblPrEx>
          <w:tblCellMar>
            <w:top w:w="0" w:type="dxa"/>
            <w:left w:w="0" w:type="dxa"/>
            <w:bottom w:w="0" w:type="dxa"/>
            <w:right w:w="0" w:type="dxa"/>
          </w:tblCellMar>
        </w:tblPrEx>
        <w:trPr>
          <w:trHeight w:val="375" w:hRule="atLeast"/>
          <w:jc w:val="center"/>
        </w:trPr>
        <w:tc>
          <w:tcPr>
            <w:tcW w:w="118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第一作者</w:t>
            </w:r>
          </w:p>
        </w:tc>
        <w:tc>
          <w:tcPr>
            <w:tcW w:w="6830" w:type="dxa"/>
            <w:gridSpan w:val="5"/>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360" w:lineRule="auto"/>
              <w:jc w:val="left"/>
              <w:rPr>
                <w:rFonts w:ascii="Times New Roman" w:hAnsi="Times New Roman" w:eastAsia="宋体"/>
                <w:kern w:val="0"/>
                <w:sz w:val="21"/>
                <w:szCs w:val="21"/>
                <w:highlight w:val="none"/>
              </w:rPr>
            </w:pPr>
            <w:r>
              <w:rPr>
                <w:rFonts w:ascii="Times New Roman" w:hAnsi="Times New Roman" w:eastAsia="宋体"/>
                <w:kern w:val="0"/>
                <w:sz w:val="21"/>
                <w:szCs w:val="21"/>
                <w:highlight w:val="none"/>
              </w:rPr>
              <w:t>1分</w:t>
            </w:r>
          </w:p>
        </w:tc>
      </w:tr>
    </w:tbl>
    <w:p>
      <w:pPr>
        <w:widowControl/>
        <w:spacing w:before="240" w:line="276" w:lineRule="auto"/>
        <w:rPr>
          <w:rFonts w:ascii="Times New Roman" w:hAnsi="Times New Roman" w:eastAsia="宋体"/>
          <w:bCs/>
          <w:kern w:val="0"/>
          <w:sz w:val="22"/>
          <w:szCs w:val="22"/>
          <w:highlight w:val="none"/>
        </w:rPr>
      </w:pPr>
      <w:r>
        <w:rPr>
          <w:rFonts w:ascii="Times New Roman" w:hAnsi="Times New Roman" w:eastAsia="宋体"/>
          <w:bCs/>
          <w:kern w:val="0"/>
          <w:sz w:val="22"/>
          <w:szCs w:val="22"/>
          <w:highlight w:val="none"/>
        </w:rPr>
        <w:t>注：可获得加分的文章需满足以下条件： 必须与课题或研究生教育相关；第一作者及第一作者通信地址为哈尔滨工业大学；作者署名里面必须有自己的导师或所在课题组其他老师。</w:t>
      </w:r>
    </w:p>
    <w:p>
      <w:pPr>
        <w:widowControl/>
        <w:numPr>
          <w:numId w:val="0"/>
        </w:numPr>
        <w:spacing w:line="276" w:lineRule="auto"/>
        <w:ind w:leftChars="0"/>
        <w:rPr>
          <w:rFonts w:ascii="Times New Roman" w:hAnsi="Times New Roman" w:eastAsia="宋体"/>
          <w:bCs/>
          <w:color w:val="000000" w:themeColor="text1"/>
          <w:kern w:val="0"/>
          <w:sz w:val="22"/>
          <w:szCs w:val="22"/>
          <w:highlight w:val="none"/>
          <w14:textFill>
            <w14:solidFill>
              <w14:schemeClr w14:val="tx1"/>
            </w14:solidFill>
          </w14:textFill>
        </w:rPr>
      </w:pPr>
      <w:r>
        <w:rPr>
          <w:rFonts w:hint="eastAsia"/>
          <w:bCs/>
          <w:kern w:val="0"/>
          <w:sz w:val="22"/>
          <w:szCs w:val="22"/>
          <w:highlight w:val="none"/>
          <w:lang w:val="en-US" w:eastAsia="zh-CN"/>
        </w:rPr>
        <w:t>1）</w:t>
      </w:r>
      <w:r>
        <w:rPr>
          <w:rFonts w:ascii="Times New Roman" w:hAnsi="Times New Roman" w:eastAsia="宋体"/>
          <w:bCs/>
          <w:kern w:val="0"/>
          <w:sz w:val="22"/>
          <w:szCs w:val="22"/>
          <w:highlight w:val="none"/>
        </w:rPr>
        <w:t>从</w:t>
      </w:r>
      <w:r>
        <w:rPr>
          <w:rFonts w:hint="eastAsia" w:ascii="Times New Roman" w:hAnsi="Times New Roman" w:eastAsia="宋体"/>
          <w:bCs/>
          <w:color w:val="000000" w:themeColor="text1"/>
          <w:kern w:val="0"/>
          <w:sz w:val="22"/>
          <w:szCs w:val="22"/>
          <w:highlight w:val="none"/>
          <w14:textFill>
            <w14:solidFill>
              <w14:schemeClr w14:val="tx1"/>
            </w14:solidFill>
          </w14:textFill>
        </w:rPr>
        <w:t>博士入学开始</w:t>
      </w:r>
      <w:r>
        <w:rPr>
          <w:rFonts w:ascii="Times New Roman" w:hAnsi="Times New Roman" w:eastAsia="宋体"/>
          <w:bCs/>
          <w:color w:val="000000" w:themeColor="text1"/>
          <w:kern w:val="0"/>
          <w:sz w:val="22"/>
          <w:szCs w:val="22"/>
          <w:highlight w:val="none"/>
          <w14:textFill>
            <w14:solidFill>
              <w14:schemeClr w14:val="tx1"/>
            </w14:solidFill>
          </w14:textFill>
        </w:rPr>
        <w:t>至奖学金评定截止日期之间的成果为有效成果，可获得加分。论文以实际发表日期为准。对已录用还未发表的论文，需提供确认录用的证明，且须有通讯作者的手</w:t>
      </w:r>
      <w:r>
        <w:rPr>
          <w:rFonts w:hint="eastAsia" w:ascii="Times New Roman" w:hAnsi="Times New Roman" w:eastAsia="宋体"/>
          <w:bCs/>
          <w:color w:val="000000" w:themeColor="text1"/>
          <w:kern w:val="0"/>
          <w:sz w:val="22"/>
          <w:szCs w:val="22"/>
          <w:highlight w:val="none"/>
          <w14:textFill>
            <w14:solidFill>
              <w14:schemeClr w14:val="tx1"/>
            </w14:solidFill>
          </w14:textFill>
        </w:rPr>
        <w:t>写</w:t>
      </w:r>
      <w:r>
        <w:rPr>
          <w:rFonts w:ascii="Times New Roman" w:hAnsi="Times New Roman" w:eastAsia="宋体"/>
          <w:bCs/>
          <w:color w:val="000000" w:themeColor="text1"/>
          <w:kern w:val="0"/>
          <w:sz w:val="22"/>
          <w:szCs w:val="22"/>
          <w:highlight w:val="none"/>
          <w14:textFill>
            <w14:solidFill>
              <w14:schemeClr w14:val="tx1"/>
            </w14:solidFill>
          </w14:textFill>
        </w:rPr>
        <w:t>签名。对这些论文，学院会定期核查确定该论文的正式发表情况，如最终未发表，将追求相关责任。</w:t>
      </w:r>
    </w:p>
    <w:p>
      <w:pPr>
        <w:widowControl/>
        <w:numPr>
          <w:numId w:val="0"/>
        </w:numPr>
        <w:spacing w:line="276" w:lineRule="auto"/>
        <w:ind w:leftChars="0"/>
        <w:rPr>
          <w:rFonts w:ascii="Times New Roman" w:hAnsi="Times New Roman" w:eastAsia="宋体"/>
          <w:bCs/>
          <w:color w:val="000000" w:themeColor="text1"/>
          <w:kern w:val="0"/>
          <w:sz w:val="22"/>
          <w:szCs w:val="22"/>
          <w:highlight w:val="none"/>
          <w14:textFill>
            <w14:solidFill>
              <w14:schemeClr w14:val="tx1"/>
            </w14:solidFill>
          </w14:textFill>
        </w:rPr>
      </w:pPr>
      <w:r>
        <w:rPr>
          <w:rFonts w:hint="eastAsia"/>
          <w:bCs/>
          <w:color w:val="000000" w:themeColor="text1"/>
          <w:kern w:val="0"/>
          <w:sz w:val="22"/>
          <w:szCs w:val="22"/>
          <w:highlight w:val="none"/>
          <w:lang w:val="en-US" w:eastAsia="zh-CN"/>
          <w14:textFill>
            <w14:solidFill>
              <w14:schemeClr w14:val="tx1"/>
            </w14:solidFill>
          </w14:textFill>
        </w:rPr>
        <w:t>2）</w:t>
      </w:r>
      <w:r>
        <w:rPr>
          <w:rFonts w:ascii="Times New Roman" w:hAnsi="Times New Roman" w:eastAsia="宋体"/>
          <w:bCs/>
          <w:color w:val="000000" w:themeColor="text1"/>
          <w:kern w:val="0"/>
          <w:sz w:val="22"/>
          <w:szCs w:val="22"/>
          <w:highlight w:val="none"/>
          <w14:textFill>
            <w14:solidFill>
              <w14:schemeClr w14:val="tx1"/>
            </w14:solidFill>
          </w14:textFill>
        </w:rPr>
        <w:t>对于论文分级，须提供佐证材料（如论文检索证明、期刊分类等）。</w:t>
      </w:r>
    </w:p>
    <w:p>
      <w:pPr>
        <w:widowControl/>
        <w:numPr>
          <w:numId w:val="0"/>
        </w:numPr>
        <w:spacing w:line="276" w:lineRule="auto"/>
        <w:ind w:leftChars="0"/>
        <w:rPr>
          <w:rFonts w:ascii="Times New Roman" w:hAnsi="Times New Roman" w:eastAsia="宋体"/>
          <w:bCs/>
          <w:color w:val="000000" w:themeColor="text1"/>
          <w:kern w:val="0"/>
          <w:sz w:val="22"/>
          <w:szCs w:val="22"/>
          <w:highlight w:val="none"/>
          <w14:textFill>
            <w14:solidFill>
              <w14:schemeClr w14:val="tx1"/>
            </w14:solidFill>
          </w14:textFill>
        </w:rPr>
      </w:pPr>
      <w:r>
        <w:rPr>
          <w:rFonts w:hint="eastAsia"/>
          <w:bCs/>
          <w:color w:val="000000" w:themeColor="text1"/>
          <w:kern w:val="0"/>
          <w:sz w:val="22"/>
          <w:szCs w:val="22"/>
          <w:highlight w:val="none"/>
          <w:lang w:val="en-US" w:eastAsia="zh-CN"/>
          <w14:textFill>
            <w14:solidFill>
              <w14:schemeClr w14:val="tx1"/>
            </w14:solidFill>
          </w14:textFill>
        </w:rPr>
        <w:t>3）</w:t>
      </w:r>
      <w:r>
        <w:rPr>
          <w:rFonts w:ascii="Times New Roman" w:hAnsi="Times New Roman" w:eastAsia="宋体"/>
          <w:bCs/>
          <w:color w:val="000000" w:themeColor="text1"/>
          <w:kern w:val="0"/>
          <w:sz w:val="22"/>
          <w:szCs w:val="22"/>
          <w:highlight w:val="none"/>
          <w14:textFill>
            <w14:solidFill>
              <w14:schemeClr w14:val="tx1"/>
            </w14:solidFill>
          </w14:textFill>
        </w:rPr>
        <w:t>所有论文需提供论文首页或者录用证明。</w:t>
      </w:r>
      <w:r>
        <w:rPr>
          <w:rFonts w:hint="eastAsia" w:ascii="Times New Roman" w:hAnsi="Times New Roman" w:eastAsia="宋体"/>
          <w:bCs/>
          <w:color w:val="000000" w:themeColor="text1"/>
          <w:kern w:val="0"/>
          <w:sz w:val="22"/>
          <w:szCs w:val="22"/>
          <w:highlight w:val="none"/>
          <w14:textFill>
            <w14:solidFill>
              <w14:schemeClr w14:val="tx1"/>
            </w14:solidFill>
          </w14:textFill>
        </w:rPr>
        <w:t>对于会议论文，要求全文录用，除提供正式的收录证明，还需要网络版全文，全文网址等信息。</w:t>
      </w:r>
    </w:p>
    <w:p>
      <w:pPr>
        <w:widowControl/>
        <w:numPr>
          <w:numId w:val="0"/>
        </w:numPr>
        <w:spacing w:line="276" w:lineRule="auto"/>
        <w:ind w:leftChars="0"/>
        <w:rPr>
          <w:rFonts w:ascii="Times New Roman" w:hAnsi="Times New Roman" w:eastAsia="宋体"/>
          <w:bCs/>
          <w:color w:val="000000" w:themeColor="text1"/>
          <w:kern w:val="0"/>
          <w:sz w:val="22"/>
          <w:szCs w:val="22"/>
          <w:highlight w:val="none"/>
          <w14:textFill>
            <w14:solidFill>
              <w14:schemeClr w14:val="tx1"/>
            </w14:solidFill>
          </w14:textFill>
        </w:rPr>
      </w:pPr>
      <w:r>
        <w:rPr>
          <w:rFonts w:hint="eastAsia"/>
          <w:bCs/>
          <w:color w:val="000000" w:themeColor="text1"/>
          <w:kern w:val="0"/>
          <w:sz w:val="22"/>
          <w:szCs w:val="22"/>
          <w:highlight w:val="none"/>
          <w:lang w:val="en-US" w:eastAsia="zh-CN"/>
          <w14:textFill>
            <w14:solidFill>
              <w14:schemeClr w14:val="tx1"/>
            </w14:solidFill>
          </w14:textFill>
        </w:rPr>
        <w:t>4）</w:t>
      </w:r>
      <w:r>
        <w:rPr>
          <w:rFonts w:ascii="Times New Roman" w:hAnsi="Times New Roman" w:eastAsia="宋体"/>
          <w:bCs/>
          <w:color w:val="000000" w:themeColor="text1"/>
          <w:kern w:val="0"/>
          <w:sz w:val="22"/>
          <w:szCs w:val="22"/>
          <w:highlight w:val="none"/>
          <w14:textFill>
            <w14:solidFill>
              <w14:schemeClr w14:val="tx1"/>
            </w14:solidFill>
          </w14:textFill>
        </w:rPr>
        <w:t>此次国奖评选中出现文章署名共同第一作者计算分数问题，本年度计算方法如下：</w:t>
      </w:r>
      <w:r>
        <w:rPr>
          <w:rFonts w:ascii="Times New Roman" w:hAnsi="Times New Roman" w:eastAsia="宋体"/>
          <w:bCs/>
          <w:color w:val="000000" w:themeColor="text1"/>
          <w:kern w:val="0"/>
          <w:sz w:val="22"/>
          <w:szCs w:val="22"/>
          <w:highlight w:val="none"/>
          <w14:textFill>
            <w14:solidFill>
              <w14:schemeClr w14:val="tx1"/>
            </w14:solidFill>
          </w14:textFill>
        </w:rPr>
        <w:t>只有</w:t>
      </w:r>
      <w:r>
        <w:rPr>
          <w:rFonts w:ascii="Times New Roman" w:hAnsi="Times New Roman" w:eastAsia="宋体"/>
          <w:color w:val="000000" w:themeColor="text1"/>
          <w:kern w:val="0"/>
          <w:sz w:val="22"/>
          <w:szCs w:val="22"/>
          <w:highlight w:val="none"/>
          <w14:textFill>
            <w14:solidFill>
              <w14:schemeClr w14:val="tx1"/>
            </w14:solidFill>
          </w14:textFill>
        </w:rPr>
        <w:t>SCI顶级期刊和SCI知名期刊论文才考虑共同第一作者</w:t>
      </w:r>
      <w:r>
        <w:rPr>
          <w:rFonts w:ascii="Times New Roman" w:hAnsi="Times New Roman" w:eastAsia="宋体"/>
          <w:color w:val="000000" w:themeColor="text1"/>
          <w:kern w:val="0"/>
          <w:sz w:val="22"/>
          <w:szCs w:val="22"/>
          <w:highlight w:val="none"/>
          <w14:textFill>
            <w14:solidFill>
              <w14:schemeClr w14:val="tx1"/>
            </w14:solidFill>
          </w14:textFill>
        </w:rPr>
        <w:t>，</w:t>
      </w:r>
      <w:r>
        <w:rPr>
          <w:rFonts w:ascii="Times New Roman" w:hAnsi="Times New Roman" w:eastAsia="宋体"/>
          <w:bCs/>
          <w:color w:val="000000" w:themeColor="text1"/>
          <w:kern w:val="0"/>
          <w:sz w:val="22"/>
          <w:szCs w:val="22"/>
          <w:highlight w:val="none"/>
          <w14:textFill>
            <w14:solidFill>
              <w14:schemeClr w14:val="tx1"/>
            </w14:solidFill>
          </w14:textFill>
        </w:rPr>
        <w:t>共同第一作者中排名第二的乘以系数0.6计算分数，共同第一作者中其它排名乘以系数0.3计算分数。对于其它论文，共同第一作者排名第二认定为等同于第二作者。</w:t>
      </w:r>
    </w:p>
    <w:p>
      <w:pPr>
        <w:widowControl/>
        <w:numPr>
          <w:numId w:val="0"/>
        </w:numPr>
        <w:spacing w:line="276" w:lineRule="auto"/>
        <w:ind w:leftChars="0"/>
        <w:rPr>
          <w:rFonts w:ascii="Times New Roman" w:hAnsi="Times New Roman" w:eastAsia="宋体"/>
          <w:bCs/>
          <w:color w:val="000000" w:themeColor="text1"/>
          <w:kern w:val="0"/>
          <w:sz w:val="22"/>
          <w:szCs w:val="22"/>
          <w:highlight w:val="none"/>
          <w14:textFill>
            <w14:solidFill>
              <w14:schemeClr w14:val="tx1"/>
            </w14:solidFill>
          </w14:textFill>
        </w:rPr>
      </w:pPr>
      <w:r>
        <w:rPr>
          <w:rFonts w:hint="eastAsia"/>
          <w:color w:val="000000" w:themeColor="text1"/>
          <w:kern w:val="0"/>
          <w:sz w:val="22"/>
          <w:szCs w:val="22"/>
          <w:highlight w:val="none"/>
          <w:lang w:val="en-US" w:eastAsia="zh-CN"/>
          <w14:textFill>
            <w14:solidFill>
              <w14:schemeClr w14:val="tx1"/>
            </w14:solidFill>
          </w14:textFill>
        </w:rPr>
        <w:t>5）</w:t>
      </w:r>
      <w:r>
        <w:rPr>
          <w:rFonts w:ascii="Times New Roman" w:hAnsi="Times New Roman" w:eastAsia="宋体"/>
          <w:color w:val="000000" w:themeColor="text1"/>
          <w:kern w:val="0"/>
          <w:sz w:val="22"/>
          <w:szCs w:val="22"/>
          <w:highlight w:val="none"/>
          <w14:textFill>
            <w14:solidFill>
              <w14:schemeClr w14:val="tx1"/>
            </w14:solidFill>
          </w14:textFill>
        </w:rPr>
        <w:t>SCI顶级期刊包括：Nature (含子刊)、Science（含子刊）、Proceedings of the National Academy of Sciences of the United States of America、Physical Review Letters、Journal of the American Chemical Society、Angewandte Chemie International Edition</w:t>
      </w:r>
      <w:r>
        <w:rPr>
          <w:rFonts w:hint="eastAsia" w:ascii="Times New Roman" w:hAnsi="Times New Roman" w:eastAsia="宋体"/>
          <w:color w:val="000000" w:themeColor="text1"/>
          <w:kern w:val="0"/>
          <w:sz w:val="22"/>
          <w:szCs w:val="22"/>
          <w:highlight w:val="none"/>
          <w14:textFill>
            <w14:solidFill>
              <w14:schemeClr w14:val="tx1"/>
            </w14:solidFill>
          </w14:textFill>
        </w:rPr>
        <w:t xml:space="preserve">, </w:t>
      </w:r>
      <w:r>
        <w:rPr>
          <w:rFonts w:ascii="Times New Roman" w:hAnsi="Times New Roman" w:eastAsia="宋体"/>
          <w:color w:val="000000" w:themeColor="text1"/>
          <w:kern w:val="0"/>
          <w:sz w:val="22"/>
          <w:szCs w:val="22"/>
          <w:highlight w:val="none"/>
          <w14:textFill>
            <w14:solidFill>
              <w14:schemeClr w14:val="tx1"/>
            </w14:solidFill>
          </w14:textFill>
        </w:rPr>
        <w:t>Energy &amp; Environmental Science</w:t>
      </w:r>
      <w:r>
        <w:rPr>
          <w:rFonts w:hint="eastAsia" w:ascii="Times New Roman" w:hAnsi="Times New Roman" w:eastAsia="宋体"/>
          <w:color w:val="000000" w:themeColor="text1"/>
          <w:kern w:val="0"/>
          <w:sz w:val="22"/>
          <w:szCs w:val="22"/>
          <w:highlight w:val="none"/>
          <w14:textFill>
            <w14:solidFill>
              <w14:schemeClr w14:val="tx1"/>
            </w14:solidFill>
          </w14:textFill>
        </w:rPr>
        <w:t>, Joule, Advanced Energy Materials</w:t>
      </w:r>
    </w:p>
    <w:p>
      <w:pPr>
        <w:widowControl/>
        <w:numPr>
          <w:numId w:val="0"/>
        </w:numPr>
        <w:spacing w:line="276" w:lineRule="auto"/>
        <w:ind w:leftChars="0"/>
        <w:rPr>
          <w:rFonts w:ascii="Times New Roman" w:hAnsi="Times New Roman" w:eastAsia="宋体"/>
          <w:bCs/>
          <w:color w:val="000000" w:themeColor="text1"/>
          <w:kern w:val="0"/>
          <w:sz w:val="22"/>
          <w:szCs w:val="22"/>
          <w:highlight w:val="none"/>
          <w14:textFill>
            <w14:solidFill>
              <w14:schemeClr w14:val="tx1"/>
            </w14:solidFill>
          </w14:textFill>
        </w:rPr>
      </w:pPr>
      <w:r>
        <w:rPr>
          <w:rFonts w:hint="eastAsia"/>
          <w:color w:val="000000" w:themeColor="text1"/>
          <w:kern w:val="0"/>
          <w:sz w:val="22"/>
          <w:szCs w:val="22"/>
          <w:highlight w:val="none"/>
          <w:lang w:val="en-US" w:eastAsia="zh-CN"/>
          <w14:textFill>
            <w14:solidFill>
              <w14:schemeClr w14:val="tx1"/>
            </w14:solidFill>
          </w14:textFill>
        </w:rPr>
        <w:t>6）</w:t>
      </w:r>
      <w:r>
        <w:rPr>
          <w:rFonts w:ascii="Times New Roman" w:hAnsi="Times New Roman" w:eastAsia="宋体"/>
          <w:color w:val="000000" w:themeColor="text1"/>
          <w:kern w:val="0"/>
          <w:sz w:val="22"/>
          <w:szCs w:val="22"/>
          <w:highlight w:val="none"/>
          <w14:textFill>
            <w14:solidFill>
              <w14:schemeClr w14:val="tx1"/>
            </w14:solidFill>
          </w14:textFill>
        </w:rPr>
        <w:t>SCI知名期刊包括：</w:t>
      </w:r>
      <w:r>
        <w:rPr>
          <w:rFonts w:ascii="Times New Roman" w:hAnsi="Times New Roman" w:eastAsia="宋体"/>
          <w:bCs/>
          <w:color w:val="000000" w:themeColor="text1"/>
          <w:kern w:val="0"/>
          <w:sz w:val="22"/>
          <w:szCs w:val="22"/>
          <w:highlight w:val="none"/>
          <w14:textFill>
            <w14:solidFill>
              <w14:schemeClr w14:val="tx1"/>
            </w14:solidFill>
          </w14:textFill>
        </w:rPr>
        <w:t>Nature Index自然指数收录的82种期刊（2018年6月发布）以及中科院分区TOP期刊。</w:t>
      </w:r>
    </w:p>
    <w:p>
      <w:pPr>
        <w:widowControl/>
        <w:numPr>
          <w:numId w:val="0"/>
        </w:numPr>
        <w:spacing w:line="276" w:lineRule="auto"/>
        <w:ind w:leftChars="0"/>
        <w:rPr>
          <w:rFonts w:ascii="Times New Roman" w:hAnsi="Times New Roman" w:eastAsia="宋体"/>
          <w:bCs/>
          <w:color w:val="000000" w:themeColor="text1"/>
          <w:kern w:val="0"/>
          <w:sz w:val="22"/>
          <w:szCs w:val="22"/>
          <w:highlight w:val="none"/>
          <w14:textFill>
            <w14:solidFill>
              <w14:schemeClr w14:val="tx1"/>
            </w14:solidFill>
          </w14:textFill>
        </w:rPr>
      </w:pPr>
      <w:r>
        <w:rPr>
          <w:rFonts w:hint="eastAsia"/>
          <w:bCs/>
          <w:color w:val="000000" w:themeColor="text1"/>
          <w:kern w:val="0"/>
          <w:sz w:val="22"/>
          <w:szCs w:val="22"/>
          <w:highlight w:val="none"/>
          <w:lang w:val="en-US" w:eastAsia="zh-CN"/>
          <w14:textFill>
            <w14:solidFill>
              <w14:schemeClr w14:val="tx1"/>
            </w14:solidFill>
          </w14:textFill>
        </w:rPr>
        <w:t>7）</w:t>
      </w:r>
      <w:r>
        <w:rPr>
          <w:rFonts w:hint="eastAsia" w:ascii="Times New Roman" w:hAnsi="Times New Roman" w:eastAsia="宋体"/>
          <w:bCs/>
          <w:color w:val="000000" w:themeColor="text1"/>
          <w:kern w:val="0"/>
          <w:sz w:val="22"/>
          <w:szCs w:val="22"/>
          <w:highlight w:val="none"/>
          <w14:textFill>
            <w14:solidFill>
              <w14:schemeClr w14:val="tx1"/>
            </w14:solidFill>
          </w14:textFill>
        </w:rPr>
        <w:t>动力工程及工程热物理学科业界公认的国际顶级或重要科技期刊，参考《哈工大国内外国水平期刊目录》。</w:t>
      </w:r>
    </w:p>
    <w:p>
      <w:pPr>
        <w:widowControl/>
        <w:numPr>
          <w:numId w:val="0"/>
        </w:numPr>
        <w:spacing w:line="276" w:lineRule="auto"/>
        <w:ind w:leftChars="0"/>
        <w:rPr>
          <w:rFonts w:ascii="Times New Roman" w:hAnsi="Times New Roman" w:eastAsia="宋体"/>
          <w:bCs/>
          <w:color w:val="000000" w:themeColor="text1"/>
          <w:kern w:val="0"/>
          <w:sz w:val="22"/>
          <w:szCs w:val="22"/>
          <w:highlight w:val="none"/>
          <w14:textFill>
            <w14:solidFill>
              <w14:schemeClr w14:val="tx1"/>
            </w14:solidFill>
          </w14:textFill>
        </w:rPr>
      </w:pPr>
      <w:r>
        <w:rPr>
          <w:rFonts w:hint="eastAsia"/>
          <w:bCs/>
          <w:color w:val="000000" w:themeColor="text1"/>
          <w:kern w:val="0"/>
          <w:sz w:val="22"/>
          <w:szCs w:val="22"/>
          <w:highlight w:val="none"/>
          <w:lang w:val="en-US" w:eastAsia="zh-CN"/>
          <w14:textFill>
            <w14:solidFill>
              <w14:schemeClr w14:val="tx1"/>
            </w14:solidFill>
          </w14:textFill>
        </w:rPr>
        <w:t>8）</w:t>
      </w:r>
      <w:r>
        <w:rPr>
          <w:rFonts w:ascii="Times New Roman" w:hAnsi="Times New Roman" w:eastAsia="宋体"/>
          <w:bCs/>
          <w:color w:val="000000" w:themeColor="text1"/>
          <w:kern w:val="0"/>
          <w:sz w:val="22"/>
          <w:szCs w:val="22"/>
          <w:highlight w:val="none"/>
          <w14:textFill>
            <w14:solidFill>
              <w14:schemeClr w14:val="tx1"/>
            </w14:solidFill>
          </w14:textFill>
        </w:rPr>
        <w:t>重要国内综合类期刊：《中国科学》、《科学通报》、《中国工程科学》。</w:t>
      </w:r>
    </w:p>
    <w:p>
      <w:pPr>
        <w:widowControl/>
        <w:numPr>
          <w:numId w:val="0"/>
        </w:numPr>
        <w:spacing w:line="276" w:lineRule="auto"/>
        <w:ind w:leftChars="0"/>
        <w:rPr>
          <w:rFonts w:ascii="Times New Roman" w:hAnsi="Times New Roman" w:eastAsia="宋体"/>
          <w:bCs/>
          <w:kern w:val="0"/>
          <w:sz w:val="22"/>
          <w:szCs w:val="22"/>
          <w:highlight w:val="none"/>
        </w:rPr>
      </w:pPr>
      <w:r>
        <w:rPr>
          <w:rFonts w:hint="eastAsia"/>
          <w:bCs/>
          <w:color w:val="000000" w:themeColor="text1"/>
          <w:kern w:val="0"/>
          <w:sz w:val="22"/>
          <w:szCs w:val="22"/>
          <w:highlight w:val="none"/>
          <w:lang w:val="en-US" w:eastAsia="zh-CN"/>
          <w14:textFill>
            <w14:solidFill>
              <w14:schemeClr w14:val="tx1"/>
            </w14:solidFill>
          </w14:textFill>
        </w:rPr>
        <w:t>9）</w:t>
      </w:r>
      <w:r>
        <w:rPr>
          <w:rFonts w:ascii="Times New Roman" w:hAnsi="Times New Roman" w:eastAsia="宋体"/>
          <w:bCs/>
          <w:color w:val="000000" w:themeColor="text1"/>
          <w:kern w:val="0"/>
          <w:sz w:val="22"/>
          <w:szCs w:val="22"/>
          <w:highlight w:val="none"/>
          <w14:textFill>
            <w14:solidFill>
              <w14:schemeClr w14:val="tx1"/>
            </w14:solidFill>
          </w14:textFill>
        </w:rPr>
        <w:t>学科重要国内一级刊物：工程热物理学报、动力工程学报、航空学报、宇航学报、航空动力学报、内燃机学报、中国电机工程学报、太阳能学报、化工学报、机械工程学报、振动工程学报、红外与毫米波学报、光学学报、声学学报、力学学报、水利学报、化学物理学报、硅酸盐学报、自动化学报、</w:t>
      </w:r>
      <w:r>
        <w:rPr>
          <w:rFonts w:ascii="Times New Roman" w:hAnsi="Times New Roman" w:eastAsia="宋体"/>
          <w:bCs/>
          <w:kern w:val="0"/>
          <w:sz w:val="22"/>
          <w:szCs w:val="22"/>
          <w:highlight w:val="none"/>
        </w:rPr>
        <w:t>计量学报、兵工学报、中国环境科学、自然资源学报、煤炭学报。</w:t>
      </w:r>
    </w:p>
    <w:p>
      <w:pPr>
        <w:widowControl/>
        <w:numPr>
          <w:numId w:val="0"/>
        </w:numPr>
        <w:spacing w:line="276" w:lineRule="auto"/>
        <w:ind w:leftChars="0"/>
        <w:rPr>
          <w:rFonts w:ascii="Times New Roman" w:hAnsi="Times New Roman" w:eastAsia="宋体"/>
          <w:bCs/>
          <w:kern w:val="0"/>
          <w:sz w:val="22"/>
          <w:szCs w:val="22"/>
          <w:highlight w:val="none"/>
        </w:rPr>
      </w:pPr>
      <w:r>
        <w:rPr>
          <w:rFonts w:hint="eastAsia"/>
          <w:bCs/>
          <w:kern w:val="0"/>
          <w:sz w:val="22"/>
          <w:szCs w:val="22"/>
          <w:highlight w:val="none"/>
          <w:lang w:val="en-US" w:eastAsia="zh-CN"/>
        </w:rPr>
        <w:t>10）</w:t>
      </w:r>
      <w:r>
        <w:rPr>
          <w:rFonts w:ascii="Times New Roman" w:hAnsi="Times New Roman" w:eastAsia="宋体"/>
          <w:bCs/>
          <w:kern w:val="0"/>
          <w:sz w:val="22"/>
          <w:szCs w:val="22"/>
          <w:highlight w:val="none"/>
        </w:rPr>
        <w:t>博士研究生发表学术论文，只有当导师或者副导师为第一作者时才考虑第二作者加分。</w:t>
      </w:r>
    </w:p>
    <w:p>
      <w:pPr>
        <w:widowControl/>
        <w:shd w:val="clear" w:color="auto" w:fill="FFFFFF"/>
        <w:spacing w:line="420" w:lineRule="atLeast"/>
        <w:rPr>
          <w:rFonts w:ascii="Times New Roman" w:hAnsi="Times New Roman" w:eastAsia="宋体"/>
          <w:b w:val="0"/>
          <w:bCs/>
          <w:kern w:val="0"/>
          <w:sz w:val="24"/>
          <w:highlight w:val="none"/>
        </w:rPr>
      </w:pPr>
      <w:r>
        <w:rPr>
          <w:rFonts w:hint="eastAsia" w:ascii="Times New Roman" w:hAnsi="Times New Roman" w:eastAsia="宋体"/>
          <w:b w:val="0"/>
          <w:bCs/>
          <w:kern w:val="0"/>
          <w:sz w:val="24"/>
          <w:highlight w:val="none"/>
        </w:rPr>
        <w:t>（2）专利及软件著作权等信息产业类加分</w:t>
      </w:r>
    </w:p>
    <w:p>
      <w:pPr>
        <w:widowControl/>
        <w:shd w:val="clear" w:color="auto" w:fill="FFFFFF"/>
        <w:spacing w:after="240" w:line="420" w:lineRule="atLeast"/>
        <w:ind w:firstLine="480" w:firstLineChars="200"/>
        <w:rPr>
          <w:rFonts w:ascii="Times New Roman" w:hAnsi="Times New Roman" w:eastAsia="宋体"/>
          <w:kern w:val="0"/>
          <w:sz w:val="24"/>
          <w:highlight w:val="none"/>
        </w:rPr>
      </w:pPr>
      <w:r>
        <w:rPr>
          <w:rFonts w:hint="eastAsia" w:ascii="Times New Roman" w:hAnsi="Times New Roman" w:eastAsia="宋体"/>
          <w:kern w:val="0"/>
          <w:sz w:val="24"/>
          <w:highlight w:val="none"/>
        </w:rPr>
        <w:t>研究生在校期间，取得专利授权、受理，予以相应加分，可累计加分。具体加分分值见下表：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1389"/>
        <w:gridCol w:w="1417"/>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7" w:type="dxa"/>
            <w:gridSpan w:val="4"/>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已产生重大效益的授权发明专利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72"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第一作者</w:t>
            </w:r>
          </w:p>
        </w:tc>
        <w:tc>
          <w:tcPr>
            <w:tcW w:w="1389"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10分</w:t>
            </w:r>
          </w:p>
        </w:tc>
        <w:tc>
          <w:tcPr>
            <w:tcW w:w="1417"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第二作者</w:t>
            </w:r>
          </w:p>
        </w:tc>
        <w:tc>
          <w:tcPr>
            <w:tcW w:w="1469" w:type="dxa"/>
            <w:vAlign w:val="center"/>
          </w:tcPr>
          <w:p>
            <w:pPr>
              <w:widowControl/>
              <w:spacing w:before="120" w:beforeLines="50" w:after="120" w:afterLines="50"/>
              <w:jc w:val="center"/>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7" w:type="dxa"/>
            <w:gridSpan w:val="4"/>
            <w:vAlign w:val="center"/>
          </w:tcPr>
          <w:p>
            <w:pPr>
              <w:widowControl/>
              <w:spacing w:before="120" w:beforeLines="50" w:after="120" w:afterLines="50"/>
              <w:rPr>
                <w:rFonts w:ascii="Times New Roman" w:hAnsi="Times New Roman" w:eastAsia="宋体"/>
                <w:bCs/>
                <w:color w:val="000000" w:themeColor="text1"/>
                <w:kern w:val="0"/>
                <w:sz w:val="21"/>
                <w:szCs w:val="21"/>
                <w:highlight w:val="none"/>
                <w14:textFill>
                  <w14:solidFill>
                    <w14:schemeClr w14:val="tx1"/>
                  </w14:solidFill>
                </w14:textFill>
              </w:rPr>
            </w:pPr>
            <w:r>
              <w:rPr>
                <w:rFonts w:hint="eastAsia" w:ascii="Times New Roman" w:hAnsi="Times New Roman" w:eastAsia="宋体"/>
                <w:bCs/>
                <w:color w:val="000000" w:themeColor="text1"/>
                <w:kern w:val="0"/>
                <w:sz w:val="21"/>
                <w:szCs w:val="21"/>
                <w:highlight w:val="none"/>
                <w14:textFill>
                  <w14:solidFill>
                    <w14:schemeClr w14:val="tx1"/>
                  </w14:solidFill>
                </w14:textFill>
              </w:rPr>
              <w:t>国际发明专利（授权）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72" w:type="dxa"/>
            <w:vAlign w:val="center"/>
          </w:tcPr>
          <w:p>
            <w:pPr>
              <w:widowControl/>
              <w:spacing w:before="120" w:beforeLines="50" w:after="120" w:afterLines="50"/>
              <w:rPr>
                <w:rFonts w:ascii="Times New Roman" w:hAnsi="Times New Roman" w:eastAsia="宋体"/>
                <w:bCs/>
                <w:color w:val="000000" w:themeColor="text1"/>
                <w:kern w:val="0"/>
                <w:sz w:val="21"/>
                <w:szCs w:val="21"/>
                <w:highlight w:val="none"/>
                <w14:textFill>
                  <w14:solidFill>
                    <w14:schemeClr w14:val="tx1"/>
                  </w14:solidFill>
                </w14:textFill>
              </w:rPr>
            </w:pPr>
            <w:r>
              <w:rPr>
                <w:rFonts w:hint="eastAsia" w:ascii="Times New Roman" w:hAnsi="Times New Roman" w:eastAsia="宋体"/>
                <w:bCs/>
                <w:color w:val="000000" w:themeColor="text1"/>
                <w:kern w:val="0"/>
                <w:sz w:val="21"/>
                <w:szCs w:val="21"/>
                <w:highlight w:val="none"/>
                <w14:textFill>
                  <w14:solidFill>
                    <w14:schemeClr w14:val="tx1"/>
                  </w14:solidFill>
                </w14:textFill>
              </w:rPr>
              <w:t>第一作者</w:t>
            </w:r>
          </w:p>
        </w:tc>
        <w:tc>
          <w:tcPr>
            <w:tcW w:w="1389" w:type="dxa"/>
            <w:vAlign w:val="center"/>
          </w:tcPr>
          <w:p>
            <w:pPr>
              <w:widowControl/>
              <w:spacing w:before="120" w:beforeLines="50" w:after="120" w:afterLines="50"/>
              <w:rPr>
                <w:rFonts w:ascii="Times New Roman" w:hAnsi="Times New Roman" w:eastAsia="宋体"/>
                <w:bCs/>
                <w:color w:val="000000" w:themeColor="text1"/>
                <w:kern w:val="0"/>
                <w:sz w:val="21"/>
                <w:szCs w:val="21"/>
                <w:highlight w:val="none"/>
                <w14:textFill>
                  <w14:solidFill>
                    <w14:schemeClr w14:val="tx1"/>
                  </w14:solidFill>
                </w14:textFill>
              </w:rPr>
            </w:pPr>
            <w:r>
              <w:rPr>
                <w:rFonts w:hint="eastAsia" w:ascii="Times New Roman" w:hAnsi="Times New Roman" w:eastAsia="宋体"/>
                <w:bCs/>
                <w:color w:val="000000" w:themeColor="text1"/>
                <w:kern w:val="0"/>
                <w:sz w:val="21"/>
                <w:szCs w:val="21"/>
                <w:highlight w:val="none"/>
                <w14:textFill>
                  <w14:solidFill>
                    <w14:schemeClr w14:val="tx1"/>
                  </w14:solidFill>
                </w14:textFill>
              </w:rPr>
              <w:t>5分</w:t>
            </w:r>
          </w:p>
        </w:tc>
        <w:tc>
          <w:tcPr>
            <w:tcW w:w="1417" w:type="dxa"/>
            <w:vAlign w:val="center"/>
          </w:tcPr>
          <w:p>
            <w:pPr>
              <w:widowControl/>
              <w:spacing w:before="120" w:beforeLines="50" w:after="120" w:afterLines="50"/>
              <w:rPr>
                <w:rFonts w:ascii="Times New Roman" w:hAnsi="Times New Roman" w:eastAsia="宋体"/>
                <w:bCs/>
                <w:color w:val="000000" w:themeColor="text1"/>
                <w:kern w:val="0"/>
                <w:sz w:val="21"/>
                <w:szCs w:val="21"/>
                <w:highlight w:val="none"/>
                <w14:textFill>
                  <w14:solidFill>
                    <w14:schemeClr w14:val="tx1"/>
                  </w14:solidFill>
                </w14:textFill>
              </w:rPr>
            </w:pPr>
            <w:r>
              <w:rPr>
                <w:rFonts w:hint="eastAsia" w:ascii="Times New Roman" w:hAnsi="Times New Roman" w:eastAsia="宋体"/>
                <w:bCs/>
                <w:color w:val="000000" w:themeColor="text1"/>
                <w:kern w:val="0"/>
                <w:sz w:val="21"/>
                <w:szCs w:val="21"/>
                <w:highlight w:val="none"/>
                <w14:textFill>
                  <w14:solidFill>
                    <w14:schemeClr w14:val="tx1"/>
                  </w14:solidFill>
                </w14:textFill>
              </w:rPr>
              <w:t>第二作者</w:t>
            </w:r>
          </w:p>
        </w:tc>
        <w:tc>
          <w:tcPr>
            <w:tcW w:w="1469" w:type="dxa"/>
            <w:vAlign w:val="center"/>
          </w:tcPr>
          <w:p>
            <w:pPr>
              <w:widowControl/>
              <w:spacing w:before="120" w:beforeLines="50" w:after="120" w:afterLines="50"/>
              <w:jc w:val="center"/>
              <w:rPr>
                <w:rFonts w:ascii="Times New Roman" w:hAnsi="Times New Roman" w:eastAsia="宋体"/>
                <w:bCs/>
                <w:color w:val="000000" w:themeColor="text1"/>
                <w:kern w:val="0"/>
                <w:sz w:val="21"/>
                <w:szCs w:val="21"/>
                <w:highlight w:val="none"/>
                <w14:textFill>
                  <w14:solidFill>
                    <w14:schemeClr w14:val="tx1"/>
                  </w14:solidFill>
                </w14:textFill>
              </w:rPr>
            </w:pPr>
            <w:r>
              <w:rPr>
                <w:rFonts w:hint="eastAsia" w:ascii="Times New Roman" w:hAnsi="Times New Roman" w:eastAsia="宋体"/>
                <w:bCs/>
                <w:color w:val="000000" w:themeColor="text1"/>
                <w:kern w:val="0"/>
                <w:sz w:val="21"/>
                <w:szCs w:val="21"/>
                <w:highlight w:val="none"/>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7" w:type="dxa"/>
            <w:gridSpan w:val="4"/>
            <w:vAlign w:val="center"/>
          </w:tcPr>
          <w:p>
            <w:pPr>
              <w:widowControl/>
              <w:spacing w:before="120" w:beforeLines="50" w:after="120" w:afterLines="50"/>
              <w:rPr>
                <w:rFonts w:ascii="Times New Roman" w:hAnsi="Times New Roman" w:eastAsia="宋体"/>
                <w:bCs/>
                <w:color w:val="000000" w:themeColor="text1"/>
                <w:kern w:val="0"/>
                <w:sz w:val="21"/>
                <w:szCs w:val="21"/>
                <w:highlight w:val="none"/>
                <w14:textFill>
                  <w14:solidFill>
                    <w14:schemeClr w14:val="tx1"/>
                  </w14:solidFill>
                </w14:textFill>
              </w:rPr>
            </w:pPr>
            <w:r>
              <w:rPr>
                <w:rFonts w:hint="eastAsia" w:ascii="Times New Roman" w:hAnsi="Times New Roman" w:eastAsia="宋体"/>
                <w:bCs/>
                <w:color w:val="000000" w:themeColor="text1"/>
                <w:kern w:val="0"/>
                <w:sz w:val="21"/>
                <w:szCs w:val="21"/>
                <w:highlight w:val="none"/>
                <w14:textFill>
                  <w14:solidFill>
                    <w14:schemeClr w14:val="tx1"/>
                  </w14:solidFill>
                </w14:textFill>
              </w:rPr>
              <w:t>国内发明专利（授权）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72"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第一作者</w:t>
            </w:r>
          </w:p>
        </w:tc>
        <w:tc>
          <w:tcPr>
            <w:tcW w:w="1389"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2分</w:t>
            </w:r>
          </w:p>
        </w:tc>
        <w:tc>
          <w:tcPr>
            <w:tcW w:w="1417"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第二作者</w:t>
            </w:r>
          </w:p>
        </w:tc>
        <w:tc>
          <w:tcPr>
            <w:tcW w:w="1469" w:type="dxa"/>
            <w:vAlign w:val="center"/>
          </w:tcPr>
          <w:p>
            <w:pPr>
              <w:widowControl/>
              <w:spacing w:before="120" w:beforeLines="50" w:after="120" w:afterLines="50"/>
              <w:jc w:val="center"/>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47" w:type="dxa"/>
            <w:gridSpan w:val="4"/>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发明专利（受理）、实用新型（授权）、</w:t>
            </w:r>
            <w:r>
              <w:rPr>
                <w:rFonts w:hint="eastAsia" w:ascii="Times New Roman" w:hAnsi="Times New Roman" w:eastAsia="宋体"/>
                <w:sz w:val="21"/>
                <w:szCs w:val="21"/>
                <w:highlight w:val="none"/>
              </w:rPr>
              <w:t>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72"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第一作者</w:t>
            </w:r>
          </w:p>
        </w:tc>
        <w:tc>
          <w:tcPr>
            <w:tcW w:w="1389"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0.5分</w:t>
            </w:r>
          </w:p>
        </w:tc>
        <w:tc>
          <w:tcPr>
            <w:tcW w:w="1417" w:type="dxa"/>
            <w:vAlign w:val="center"/>
          </w:tcPr>
          <w:p>
            <w:pPr>
              <w:widowControl/>
              <w:spacing w:before="120" w:beforeLines="50" w:after="120" w:afterLines="50"/>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第二作者</w:t>
            </w:r>
          </w:p>
        </w:tc>
        <w:tc>
          <w:tcPr>
            <w:tcW w:w="1469" w:type="dxa"/>
            <w:vAlign w:val="center"/>
          </w:tcPr>
          <w:p>
            <w:pPr>
              <w:widowControl/>
              <w:spacing w:before="120" w:beforeLines="50" w:after="120" w:afterLines="50"/>
              <w:jc w:val="center"/>
              <w:rPr>
                <w:rFonts w:ascii="Times New Roman" w:hAnsi="Times New Roman" w:eastAsia="宋体"/>
                <w:bCs/>
                <w:kern w:val="0"/>
                <w:sz w:val="21"/>
                <w:szCs w:val="21"/>
                <w:highlight w:val="none"/>
              </w:rPr>
            </w:pPr>
            <w:r>
              <w:rPr>
                <w:rFonts w:hint="eastAsia" w:ascii="Times New Roman" w:hAnsi="Times New Roman" w:eastAsia="宋体"/>
                <w:bCs/>
                <w:kern w:val="0"/>
                <w:sz w:val="21"/>
                <w:szCs w:val="21"/>
                <w:highlight w:val="none"/>
              </w:rPr>
              <w:t>0.2分</w:t>
            </w:r>
          </w:p>
        </w:tc>
      </w:tr>
    </w:tbl>
    <w:p>
      <w:pPr>
        <w:keepNext w:val="0"/>
        <w:keepLines w:val="0"/>
        <w:pageBreakBefore w:val="0"/>
        <w:widowControl/>
        <w:kinsoku/>
        <w:wordWrap/>
        <w:overflowPunct/>
        <w:topLinePunct w:val="0"/>
        <w:autoSpaceDE/>
        <w:autoSpaceDN/>
        <w:bidi w:val="0"/>
        <w:adjustRightInd/>
        <w:snapToGrid/>
        <w:spacing w:before="240" w:line="276" w:lineRule="auto"/>
        <w:textAlignment w:val="auto"/>
        <w:rPr>
          <w:rFonts w:ascii="Times New Roman" w:hAnsi="Times New Roman" w:eastAsia="宋体"/>
          <w:bCs/>
          <w:kern w:val="0"/>
          <w:sz w:val="22"/>
          <w:szCs w:val="22"/>
          <w:highlight w:val="none"/>
        </w:rPr>
      </w:pPr>
      <w:bookmarkStart w:id="5" w:name="_GoBack"/>
      <w:r>
        <w:rPr>
          <w:rFonts w:ascii="Times New Roman" w:hAnsi="Times New Roman" w:eastAsia="宋体"/>
          <w:b/>
          <w:bCs/>
          <w:kern w:val="0"/>
          <w:sz w:val="22"/>
          <w:szCs w:val="22"/>
          <w:highlight w:val="none"/>
        </w:rPr>
        <w:t>注</w:t>
      </w:r>
      <w:r>
        <w:rPr>
          <w:rFonts w:ascii="Times New Roman" w:hAnsi="Times New Roman" w:eastAsia="宋体"/>
          <w:bCs/>
          <w:kern w:val="0"/>
          <w:sz w:val="22"/>
          <w:szCs w:val="22"/>
          <w:highlight w:val="none"/>
        </w:rPr>
        <w:t>：可获得加分的专利需满足下列两个条件：必须与课题或研究生教育相关；</w:t>
      </w:r>
    </w:p>
    <w:p>
      <w:pPr>
        <w:keepNext w:val="0"/>
        <w:keepLines w:val="0"/>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bCs/>
          <w:kern w:val="0"/>
          <w:sz w:val="22"/>
          <w:szCs w:val="22"/>
          <w:highlight w:val="none"/>
        </w:rPr>
      </w:pPr>
      <w:r>
        <w:rPr>
          <w:rFonts w:ascii="Times New Roman" w:hAnsi="Times New Roman" w:eastAsia="宋体"/>
          <w:bCs/>
          <w:kern w:val="0"/>
          <w:sz w:val="22"/>
          <w:szCs w:val="22"/>
          <w:highlight w:val="none"/>
        </w:rPr>
        <w:t>第一作者及第一申请单位为哈尔滨工业大学；</w:t>
      </w:r>
    </w:p>
    <w:p>
      <w:pPr>
        <w:keepNext w:val="0"/>
        <w:keepLines w:val="0"/>
        <w:pageBreakBefore w:val="0"/>
        <w:numPr>
          <w:numId w:val="0"/>
        </w:numPr>
        <w:kinsoku/>
        <w:wordWrap/>
        <w:overflowPunct/>
        <w:topLinePunct w:val="0"/>
        <w:autoSpaceDE/>
        <w:autoSpaceDN/>
        <w:bidi w:val="0"/>
        <w:adjustRightInd/>
        <w:snapToGrid/>
        <w:spacing w:line="276" w:lineRule="auto"/>
        <w:ind w:leftChars="0"/>
        <w:textAlignment w:val="auto"/>
        <w:rPr>
          <w:rFonts w:ascii="Times New Roman" w:hAnsi="Times New Roman" w:eastAsia="宋体"/>
          <w:sz w:val="22"/>
          <w:szCs w:val="22"/>
          <w:highlight w:val="none"/>
        </w:rPr>
      </w:pPr>
      <w:r>
        <w:rPr>
          <w:rFonts w:hint="eastAsia"/>
          <w:sz w:val="22"/>
          <w:szCs w:val="22"/>
          <w:highlight w:val="none"/>
          <w:lang w:val="en-US" w:eastAsia="zh-CN"/>
        </w:rPr>
        <w:t>1）</w:t>
      </w:r>
      <w:r>
        <w:rPr>
          <w:rFonts w:ascii="Times New Roman" w:hAnsi="Times New Roman" w:eastAsia="宋体"/>
          <w:sz w:val="22"/>
          <w:szCs w:val="22"/>
          <w:highlight w:val="none"/>
        </w:rPr>
        <w:t>授权专利提供授权证书复印件，且需由该专利指导教师签字确认</w:t>
      </w:r>
    </w:p>
    <w:p>
      <w:pPr>
        <w:keepNext w:val="0"/>
        <w:keepLines w:val="0"/>
        <w:pageBreakBefore w:val="0"/>
        <w:numPr>
          <w:numId w:val="0"/>
        </w:numPr>
        <w:kinsoku/>
        <w:wordWrap/>
        <w:overflowPunct/>
        <w:topLinePunct w:val="0"/>
        <w:autoSpaceDE/>
        <w:autoSpaceDN/>
        <w:bidi w:val="0"/>
        <w:adjustRightInd/>
        <w:snapToGrid/>
        <w:spacing w:line="276" w:lineRule="auto"/>
        <w:ind w:leftChars="0"/>
        <w:textAlignment w:val="auto"/>
        <w:rPr>
          <w:rFonts w:ascii="Times New Roman" w:hAnsi="Times New Roman" w:eastAsia="宋体"/>
          <w:sz w:val="22"/>
          <w:szCs w:val="22"/>
          <w:highlight w:val="none"/>
        </w:rPr>
      </w:pPr>
      <w:r>
        <w:rPr>
          <w:rFonts w:hint="eastAsia"/>
          <w:sz w:val="22"/>
          <w:szCs w:val="22"/>
          <w:highlight w:val="none"/>
          <w:lang w:val="en-US" w:eastAsia="zh-CN"/>
        </w:rPr>
        <w:t>2）</w:t>
      </w:r>
      <w:r>
        <w:rPr>
          <w:rFonts w:ascii="Times New Roman" w:hAnsi="Times New Roman" w:eastAsia="宋体"/>
          <w:sz w:val="22"/>
          <w:szCs w:val="22"/>
          <w:highlight w:val="none"/>
        </w:rPr>
        <w:t>受理专利提供受理证书复印件，且需由该专利指导教师签字确认</w:t>
      </w:r>
    </w:p>
    <w:p>
      <w:pPr>
        <w:keepNext w:val="0"/>
        <w:keepLines w:val="0"/>
        <w:pageBreakBefore w:val="0"/>
        <w:numPr>
          <w:numId w:val="0"/>
        </w:numPr>
        <w:kinsoku/>
        <w:wordWrap/>
        <w:overflowPunct/>
        <w:topLinePunct w:val="0"/>
        <w:autoSpaceDE/>
        <w:autoSpaceDN/>
        <w:bidi w:val="0"/>
        <w:adjustRightInd/>
        <w:snapToGrid/>
        <w:spacing w:line="276" w:lineRule="auto"/>
        <w:ind w:leftChars="0"/>
        <w:textAlignment w:val="auto"/>
        <w:rPr>
          <w:rFonts w:ascii="Times New Roman" w:hAnsi="Times New Roman" w:eastAsia="宋体"/>
          <w:sz w:val="22"/>
          <w:szCs w:val="22"/>
          <w:highlight w:val="none"/>
        </w:rPr>
      </w:pPr>
      <w:r>
        <w:rPr>
          <w:rFonts w:hint="eastAsia"/>
          <w:sz w:val="22"/>
          <w:szCs w:val="22"/>
          <w:highlight w:val="none"/>
          <w:lang w:val="en-US" w:eastAsia="zh-CN"/>
        </w:rPr>
        <w:t>3）</w:t>
      </w:r>
      <w:r>
        <w:rPr>
          <w:rFonts w:ascii="Times New Roman" w:hAnsi="Times New Roman" w:eastAsia="宋体"/>
          <w:sz w:val="22"/>
          <w:szCs w:val="22"/>
          <w:highlight w:val="none"/>
        </w:rPr>
        <w:t>软件著作权需提供权授权证书，且需由该专利指导教师签字确认</w:t>
      </w:r>
    </w:p>
    <w:p>
      <w:pPr>
        <w:keepNext w:val="0"/>
        <w:keepLines w:val="0"/>
        <w:pageBreakBefore w:val="0"/>
        <w:numPr>
          <w:numId w:val="0"/>
        </w:numPr>
        <w:kinsoku/>
        <w:wordWrap/>
        <w:overflowPunct/>
        <w:topLinePunct w:val="0"/>
        <w:autoSpaceDE/>
        <w:autoSpaceDN/>
        <w:bidi w:val="0"/>
        <w:adjustRightInd/>
        <w:snapToGrid/>
        <w:spacing w:line="276" w:lineRule="auto"/>
        <w:ind w:leftChars="0"/>
        <w:textAlignment w:val="auto"/>
        <w:rPr>
          <w:rFonts w:ascii="Times New Roman" w:hAnsi="Times New Roman" w:eastAsia="宋体"/>
          <w:sz w:val="22"/>
          <w:szCs w:val="22"/>
          <w:highlight w:val="none"/>
        </w:rPr>
      </w:pPr>
      <w:r>
        <w:rPr>
          <w:rFonts w:hint="eastAsia"/>
          <w:sz w:val="22"/>
          <w:szCs w:val="22"/>
          <w:highlight w:val="none"/>
          <w:lang w:val="en-US" w:eastAsia="zh-CN"/>
        </w:rPr>
        <w:t>4）</w:t>
      </w:r>
      <w:r>
        <w:rPr>
          <w:rFonts w:ascii="Times New Roman" w:hAnsi="Times New Roman" w:eastAsia="宋体"/>
          <w:sz w:val="22"/>
          <w:szCs w:val="22"/>
          <w:highlight w:val="none"/>
        </w:rPr>
        <w:t>已产生重大效益的授权发明专利，要有明确的佐证材料，并由学院研究生国家奖学金评审委员会认定</w:t>
      </w:r>
    </w:p>
    <w:p>
      <w:pPr>
        <w:keepNext w:val="0"/>
        <w:keepLines w:val="0"/>
        <w:pageBreakBefore w:val="0"/>
        <w:numPr>
          <w:numId w:val="0"/>
        </w:numPr>
        <w:kinsoku/>
        <w:wordWrap/>
        <w:overflowPunct/>
        <w:topLinePunct w:val="0"/>
        <w:autoSpaceDE/>
        <w:autoSpaceDN/>
        <w:bidi w:val="0"/>
        <w:adjustRightInd/>
        <w:snapToGrid/>
        <w:spacing w:line="276" w:lineRule="auto"/>
        <w:ind w:leftChars="0"/>
        <w:textAlignment w:val="auto"/>
        <w:rPr>
          <w:rFonts w:ascii="Times New Roman" w:hAnsi="Times New Roman" w:eastAsia="宋体"/>
          <w:sz w:val="22"/>
          <w:szCs w:val="22"/>
          <w:highlight w:val="none"/>
        </w:rPr>
      </w:pPr>
      <w:r>
        <w:rPr>
          <w:rFonts w:hint="eastAsia"/>
          <w:sz w:val="22"/>
          <w:szCs w:val="22"/>
          <w:highlight w:val="none"/>
          <w:lang w:val="en-US" w:eastAsia="zh-CN"/>
        </w:rPr>
        <w:t>5）</w:t>
      </w:r>
      <w:r>
        <w:rPr>
          <w:rFonts w:ascii="Times New Roman" w:hAnsi="Times New Roman" w:eastAsia="宋体"/>
          <w:sz w:val="22"/>
          <w:szCs w:val="22"/>
          <w:highlight w:val="none"/>
        </w:rPr>
        <w:t>博士研究生发表专利及软件著作权，只统计前两名作者，如果学生为第二作者，其导师为第一作者时，按第一作者计算，其余情况按正常排序。</w:t>
      </w:r>
    </w:p>
    <w:bookmarkEnd w:id="5"/>
    <w:p>
      <w:pPr>
        <w:spacing w:line="360" w:lineRule="auto"/>
        <w:ind w:left="420"/>
        <w:rPr>
          <w:rFonts w:ascii="Times New Roman" w:hAnsi="Times New Roman" w:eastAsia="宋体"/>
          <w:sz w:val="22"/>
          <w:szCs w:val="22"/>
          <w:highlight w:val="none"/>
        </w:rPr>
      </w:pPr>
    </w:p>
    <w:p>
      <w:pPr>
        <w:spacing w:line="360" w:lineRule="auto"/>
        <w:ind w:firstLine="440" w:firstLineChars="200"/>
        <w:rPr>
          <w:rFonts w:ascii="Times New Roman" w:hAnsi="Times New Roman" w:eastAsia="宋体"/>
          <w:color w:val="000000" w:themeColor="text1"/>
          <w:sz w:val="22"/>
          <w:szCs w:val="22"/>
          <w:highlight w:val="none"/>
          <w14:textFill>
            <w14:solidFill>
              <w14:schemeClr w14:val="tx1"/>
            </w14:solidFill>
          </w14:textFill>
        </w:rPr>
      </w:pPr>
      <w:r>
        <w:rPr>
          <w:rFonts w:hint="eastAsia" w:ascii="Times New Roman" w:hAnsi="Times New Roman" w:eastAsia="宋体"/>
          <w:color w:val="000000" w:themeColor="text1"/>
          <w:sz w:val="22"/>
          <w:szCs w:val="22"/>
          <w:highlight w:val="none"/>
          <w14:textFill>
            <w14:solidFill>
              <w14:schemeClr w14:val="tx1"/>
            </w14:solidFill>
          </w14:textFill>
        </w:rPr>
        <w:t>对于确有高水平研究成果的学生（不限于论文、专利、工程项目实践、科技竞赛获奖等），经我院研究生国家奖学金评审委员会讨论认定同意，可以不受综合成绩计算细则及评分参考标准限制。</w:t>
      </w:r>
    </w:p>
    <w:p>
      <w:pPr>
        <w:widowControl/>
        <w:spacing w:line="360" w:lineRule="auto"/>
        <w:ind w:firstLine="440" w:firstLineChars="200"/>
        <w:rPr>
          <w:rFonts w:ascii="Times New Roman" w:hAnsi="Times New Roman" w:eastAsia="宋体"/>
          <w:bCs/>
          <w:color w:val="000000" w:themeColor="text1"/>
          <w:kern w:val="0"/>
          <w:sz w:val="22"/>
          <w:szCs w:val="22"/>
          <w:highlight w:val="none"/>
          <w14:textFill>
            <w14:solidFill>
              <w14:schemeClr w14:val="tx1"/>
            </w14:solidFill>
          </w14:textFill>
        </w:rPr>
      </w:pPr>
    </w:p>
    <w:p>
      <w:pPr>
        <w:widowControl/>
        <w:rPr>
          <w:bCs/>
          <w:kern w:val="0"/>
          <w:szCs w:val="21"/>
          <w:highlight w:val="none"/>
        </w:rPr>
      </w:pPr>
    </w:p>
    <w:sectPr>
      <w:headerReference r:id="rId3" w:type="default"/>
      <w:footerReference r:id="rId4"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Math">
    <w:panose1 w:val="02040503050406030204"/>
    <w:charset w:val="00"/>
    <w:family w:val="roman"/>
    <w:pitch w:val="default"/>
    <w:sig w:usb0="A00002EF" w:usb1="420020EB" w:usb2="00000000" w:usb3="00000000" w:csb0="200000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szCs w:val="24"/>
      </w:rPr>
      <w:fldChar w:fldCharType="begin"/>
    </w:r>
    <w:r>
      <w:rPr>
        <w:rStyle w:val="10"/>
        <w:sz w:val="24"/>
        <w:szCs w:val="24"/>
      </w:rPr>
      <w:instrText xml:space="preserve"> PAGE </w:instrText>
    </w:r>
    <w:r>
      <w:rPr>
        <w:sz w:val="24"/>
        <w:szCs w:val="24"/>
      </w:rPr>
      <w:fldChar w:fldCharType="separate"/>
    </w:r>
    <w:r>
      <w:rPr>
        <w:rStyle w:val="10"/>
        <w:sz w:val="24"/>
        <w:szCs w:val="24"/>
      </w:rPr>
      <w:t>8</w:t>
    </w:r>
    <w:r>
      <w:rPr>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能源学院研究生国家奖学金评定细则（2021年度）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51BD9"/>
    <w:multiLevelType w:val="multilevel"/>
    <w:tmpl w:val="09F51B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93"/>
    <w:rsid w:val="000025E9"/>
    <w:rsid w:val="000125D3"/>
    <w:rsid w:val="00026E5B"/>
    <w:rsid w:val="0002753F"/>
    <w:rsid w:val="00040DDD"/>
    <w:rsid w:val="00041A40"/>
    <w:rsid w:val="00061D65"/>
    <w:rsid w:val="000649AF"/>
    <w:rsid w:val="00067887"/>
    <w:rsid w:val="00073C9D"/>
    <w:rsid w:val="0008006B"/>
    <w:rsid w:val="000825C9"/>
    <w:rsid w:val="000A34F8"/>
    <w:rsid w:val="000B115C"/>
    <w:rsid w:val="000B3AF6"/>
    <w:rsid w:val="000C24E2"/>
    <w:rsid w:val="000C2D93"/>
    <w:rsid w:val="000D49BC"/>
    <w:rsid w:val="000D599B"/>
    <w:rsid w:val="000D6A9A"/>
    <w:rsid w:val="000D7703"/>
    <w:rsid w:val="000E2E91"/>
    <w:rsid w:val="000E395A"/>
    <w:rsid w:val="000E4CAA"/>
    <w:rsid w:val="000E4D28"/>
    <w:rsid w:val="000F1BEB"/>
    <w:rsid w:val="000F343F"/>
    <w:rsid w:val="000F59D4"/>
    <w:rsid w:val="000F723F"/>
    <w:rsid w:val="00111064"/>
    <w:rsid w:val="00117ED3"/>
    <w:rsid w:val="00132AD2"/>
    <w:rsid w:val="001408FB"/>
    <w:rsid w:val="00142FB4"/>
    <w:rsid w:val="00150B45"/>
    <w:rsid w:val="00157EB8"/>
    <w:rsid w:val="00162DC0"/>
    <w:rsid w:val="00167A7A"/>
    <w:rsid w:val="00171516"/>
    <w:rsid w:val="00171F59"/>
    <w:rsid w:val="001752F9"/>
    <w:rsid w:val="00175ACA"/>
    <w:rsid w:val="001778F6"/>
    <w:rsid w:val="00186324"/>
    <w:rsid w:val="001874F1"/>
    <w:rsid w:val="00187F96"/>
    <w:rsid w:val="00190E98"/>
    <w:rsid w:val="001965A5"/>
    <w:rsid w:val="001A2104"/>
    <w:rsid w:val="001A55D3"/>
    <w:rsid w:val="001A5A58"/>
    <w:rsid w:val="001A6A5A"/>
    <w:rsid w:val="001A74DA"/>
    <w:rsid w:val="001A7D4B"/>
    <w:rsid w:val="001B2ADC"/>
    <w:rsid w:val="001B57DE"/>
    <w:rsid w:val="001C145E"/>
    <w:rsid w:val="001C3DDC"/>
    <w:rsid w:val="001C6586"/>
    <w:rsid w:val="001C6EFD"/>
    <w:rsid w:val="001D6111"/>
    <w:rsid w:val="001D70D3"/>
    <w:rsid w:val="001D7C37"/>
    <w:rsid w:val="001E1AD5"/>
    <w:rsid w:val="001E487C"/>
    <w:rsid w:val="001E6151"/>
    <w:rsid w:val="001F120A"/>
    <w:rsid w:val="001F1C42"/>
    <w:rsid w:val="001F2D6C"/>
    <w:rsid w:val="001F33E8"/>
    <w:rsid w:val="00216B9B"/>
    <w:rsid w:val="00225F1F"/>
    <w:rsid w:val="00231777"/>
    <w:rsid w:val="0024027E"/>
    <w:rsid w:val="00240353"/>
    <w:rsid w:val="00241651"/>
    <w:rsid w:val="0024643B"/>
    <w:rsid w:val="00264C10"/>
    <w:rsid w:val="00281ED5"/>
    <w:rsid w:val="00284F5F"/>
    <w:rsid w:val="0029319F"/>
    <w:rsid w:val="00296FA4"/>
    <w:rsid w:val="002B4FD1"/>
    <w:rsid w:val="002C3B80"/>
    <w:rsid w:val="002C590A"/>
    <w:rsid w:val="002C5B56"/>
    <w:rsid w:val="002D464C"/>
    <w:rsid w:val="002D6A90"/>
    <w:rsid w:val="002E7124"/>
    <w:rsid w:val="002F1581"/>
    <w:rsid w:val="002F6183"/>
    <w:rsid w:val="002F6A32"/>
    <w:rsid w:val="003037E3"/>
    <w:rsid w:val="00326FBD"/>
    <w:rsid w:val="0033008D"/>
    <w:rsid w:val="00331F1B"/>
    <w:rsid w:val="003368CD"/>
    <w:rsid w:val="00336C81"/>
    <w:rsid w:val="0034795F"/>
    <w:rsid w:val="003516AC"/>
    <w:rsid w:val="003545C1"/>
    <w:rsid w:val="003555B1"/>
    <w:rsid w:val="00372B14"/>
    <w:rsid w:val="00373506"/>
    <w:rsid w:val="003863C8"/>
    <w:rsid w:val="003A42E1"/>
    <w:rsid w:val="003B65F9"/>
    <w:rsid w:val="003D0BAB"/>
    <w:rsid w:val="003D25F9"/>
    <w:rsid w:val="003D7613"/>
    <w:rsid w:val="003D7640"/>
    <w:rsid w:val="003E4506"/>
    <w:rsid w:val="003E7D2E"/>
    <w:rsid w:val="003F0B7B"/>
    <w:rsid w:val="003F5B77"/>
    <w:rsid w:val="003F79B7"/>
    <w:rsid w:val="00403508"/>
    <w:rsid w:val="00416E6A"/>
    <w:rsid w:val="004264FE"/>
    <w:rsid w:val="0042685F"/>
    <w:rsid w:val="0044306C"/>
    <w:rsid w:val="00454F5C"/>
    <w:rsid w:val="00455986"/>
    <w:rsid w:val="004621C3"/>
    <w:rsid w:val="0046233E"/>
    <w:rsid w:val="004662E7"/>
    <w:rsid w:val="004719BE"/>
    <w:rsid w:val="00473047"/>
    <w:rsid w:val="0048048D"/>
    <w:rsid w:val="00485E60"/>
    <w:rsid w:val="00486438"/>
    <w:rsid w:val="00487512"/>
    <w:rsid w:val="00490678"/>
    <w:rsid w:val="00495E8C"/>
    <w:rsid w:val="004962EA"/>
    <w:rsid w:val="004A77AA"/>
    <w:rsid w:val="004A7AA8"/>
    <w:rsid w:val="004B11AD"/>
    <w:rsid w:val="004B1505"/>
    <w:rsid w:val="004B63D2"/>
    <w:rsid w:val="004C1EC0"/>
    <w:rsid w:val="004D36EA"/>
    <w:rsid w:val="004D48B8"/>
    <w:rsid w:val="004D69A7"/>
    <w:rsid w:val="004F07E0"/>
    <w:rsid w:val="00503420"/>
    <w:rsid w:val="00513E18"/>
    <w:rsid w:val="005215D1"/>
    <w:rsid w:val="0053112D"/>
    <w:rsid w:val="00532158"/>
    <w:rsid w:val="00540EC6"/>
    <w:rsid w:val="005463EF"/>
    <w:rsid w:val="00553A51"/>
    <w:rsid w:val="00561E4F"/>
    <w:rsid w:val="00563F3A"/>
    <w:rsid w:val="0057093C"/>
    <w:rsid w:val="00572B2C"/>
    <w:rsid w:val="00573F7F"/>
    <w:rsid w:val="00581173"/>
    <w:rsid w:val="00587629"/>
    <w:rsid w:val="005C468B"/>
    <w:rsid w:val="005D4EBE"/>
    <w:rsid w:val="005E29FF"/>
    <w:rsid w:val="005E4315"/>
    <w:rsid w:val="005E4406"/>
    <w:rsid w:val="005E6A7F"/>
    <w:rsid w:val="005F23C7"/>
    <w:rsid w:val="00602F37"/>
    <w:rsid w:val="0060389E"/>
    <w:rsid w:val="0061109F"/>
    <w:rsid w:val="00631CC4"/>
    <w:rsid w:val="00632EC7"/>
    <w:rsid w:val="0064168B"/>
    <w:rsid w:val="00651519"/>
    <w:rsid w:val="00656064"/>
    <w:rsid w:val="006602AB"/>
    <w:rsid w:val="0066335D"/>
    <w:rsid w:val="00674E4B"/>
    <w:rsid w:val="00677A33"/>
    <w:rsid w:val="006A013B"/>
    <w:rsid w:val="006A07C5"/>
    <w:rsid w:val="006A2386"/>
    <w:rsid w:val="006A28EF"/>
    <w:rsid w:val="006A5D43"/>
    <w:rsid w:val="006A7F6D"/>
    <w:rsid w:val="006B4484"/>
    <w:rsid w:val="006B4A75"/>
    <w:rsid w:val="006B611E"/>
    <w:rsid w:val="006B7FCA"/>
    <w:rsid w:val="006C53E6"/>
    <w:rsid w:val="006D52DA"/>
    <w:rsid w:val="006E2A75"/>
    <w:rsid w:val="006E3CB2"/>
    <w:rsid w:val="006E50F1"/>
    <w:rsid w:val="006F4D5D"/>
    <w:rsid w:val="006F6931"/>
    <w:rsid w:val="0070212F"/>
    <w:rsid w:val="00704154"/>
    <w:rsid w:val="00705D1C"/>
    <w:rsid w:val="0070625F"/>
    <w:rsid w:val="00712125"/>
    <w:rsid w:val="00712173"/>
    <w:rsid w:val="00717B7D"/>
    <w:rsid w:val="007246E5"/>
    <w:rsid w:val="007260DD"/>
    <w:rsid w:val="00732D34"/>
    <w:rsid w:val="0074198F"/>
    <w:rsid w:val="00742A97"/>
    <w:rsid w:val="00750A75"/>
    <w:rsid w:val="00760AB3"/>
    <w:rsid w:val="00760E8C"/>
    <w:rsid w:val="007614A7"/>
    <w:rsid w:val="007623EE"/>
    <w:rsid w:val="007667CE"/>
    <w:rsid w:val="0077147E"/>
    <w:rsid w:val="00771D8E"/>
    <w:rsid w:val="00773447"/>
    <w:rsid w:val="0077446E"/>
    <w:rsid w:val="00775D4F"/>
    <w:rsid w:val="0077669C"/>
    <w:rsid w:val="0077746A"/>
    <w:rsid w:val="00794BB0"/>
    <w:rsid w:val="00795F2E"/>
    <w:rsid w:val="007975A9"/>
    <w:rsid w:val="007B7643"/>
    <w:rsid w:val="007C0338"/>
    <w:rsid w:val="007C21E2"/>
    <w:rsid w:val="007D36E1"/>
    <w:rsid w:val="007D6AEC"/>
    <w:rsid w:val="007E6D36"/>
    <w:rsid w:val="007F429B"/>
    <w:rsid w:val="007F47B0"/>
    <w:rsid w:val="007F6362"/>
    <w:rsid w:val="00807837"/>
    <w:rsid w:val="00815291"/>
    <w:rsid w:val="00834C3F"/>
    <w:rsid w:val="00836FF0"/>
    <w:rsid w:val="008372CE"/>
    <w:rsid w:val="0084196A"/>
    <w:rsid w:val="00853277"/>
    <w:rsid w:val="00856A18"/>
    <w:rsid w:val="008650A6"/>
    <w:rsid w:val="00866995"/>
    <w:rsid w:val="008828C1"/>
    <w:rsid w:val="00883158"/>
    <w:rsid w:val="008873E0"/>
    <w:rsid w:val="008A0C8C"/>
    <w:rsid w:val="008A172F"/>
    <w:rsid w:val="008A2387"/>
    <w:rsid w:val="008A7754"/>
    <w:rsid w:val="008B08DE"/>
    <w:rsid w:val="008B3499"/>
    <w:rsid w:val="008B5639"/>
    <w:rsid w:val="008B5B9E"/>
    <w:rsid w:val="008C3D0B"/>
    <w:rsid w:val="008D02A0"/>
    <w:rsid w:val="008D79A4"/>
    <w:rsid w:val="008E20C3"/>
    <w:rsid w:val="008E3B61"/>
    <w:rsid w:val="008F170F"/>
    <w:rsid w:val="008F28FD"/>
    <w:rsid w:val="008F71B9"/>
    <w:rsid w:val="0090049B"/>
    <w:rsid w:val="0090341B"/>
    <w:rsid w:val="0090515C"/>
    <w:rsid w:val="0091221D"/>
    <w:rsid w:val="00913170"/>
    <w:rsid w:val="00915FB3"/>
    <w:rsid w:val="00925FF5"/>
    <w:rsid w:val="009309AD"/>
    <w:rsid w:val="00932ACE"/>
    <w:rsid w:val="00942422"/>
    <w:rsid w:val="009451EF"/>
    <w:rsid w:val="00945FE8"/>
    <w:rsid w:val="00963BE2"/>
    <w:rsid w:val="00966228"/>
    <w:rsid w:val="009748A8"/>
    <w:rsid w:val="0097558F"/>
    <w:rsid w:val="00984083"/>
    <w:rsid w:val="00985074"/>
    <w:rsid w:val="0099748D"/>
    <w:rsid w:val="009A1BA8"/>
    <w:rsid w:val="009A7E8A"/>
    <w:rsid w:val="009A7F1B"/>
    <w:rsid w:val="009B5575"/>
    <w:rsid w:val="009C3D1C"/>
    <w:rsid w:val="009C4EE8"/>
    <w:rsid w:val="009C79B0"/>
    <w:rsid w:val="009C7C6B"/>
    <w:rsid w:val="009D2BA1"/>
    <w:rsid w:val="009D5D85"/>
    <w:rsid w:val="009E1321"/>
    <w:rsid w:val="009F214D"/>
    <w:rsid w:val="009F568C"/>
    <w:rsid w:val="00A123F8"/>
    <w:rsid w:val="00A25BC7"/>
    <w:rsid w:val="00A31043"/>
    <w:rsid w:val="00A507CC"/>
    <w:rsid w:val="00A55D52"/>
    <w:rsid w:val="00A56A55"/>
    <w:rsid w:val="00A62BCF"/>
    <w:rsid w:val="00A66244"/>
    <w:rsid w:val="00A7374D"/>
    <w:rsid w:val="00A739E2"/>
    <w:rsid w:val="00A80B35"/>
    <w:rsid w:val="00A849A9"/>
    <w:rsid w:val="00A91797"/>
    <w:rsid w:val="00A92A92"/>
    <w:rsid w:val="00A93F36"/>
    <w:rsid w:val="00A95919"/>
    <w:rsid w:val="00AA3701"/>
    <w:rsid w:val="00AA3BD9"/>
    <w:rsid w:val="00AB2D88"/>
    <w:rsid w:val="00AD3210"/>
    <w:rsid w:val="00AD551D"/>
    <w:rsid w:val="00AD6E22"/>
    <w:rsid w:val="00AD6F1C"/>
    <w:rsid w:val="00AD7203"/>
    <w:rsid w:val="00AE0407"/>
    <w:rsid w:val="00AE0AC1"/>
    <w:rsid w:val="00AE27D7"/>
    <w:rsid w:val="00AE3BE8"/>
    <w:rsid w:val="00AE49AD"/>
    <w:rsid w:val="00B04372"/>
    <w:rsid w:val="00B10F29"/>
    <w:rsid w:val="00B13E09"/>
    <w:rsid w:val="00B16E2A"/>
    <w:rsid w:val="00B21D38"/>
    <w:rsid w:val="00B21F87"/>
    <w:rsid w:val="00B22270"/>
    <w:rsid w:val="00B23462"/>
    <w:rsid w:val="00B23E96"/>
    <w:rsid w:val="00B30BEB"/>
    <w:rsid w:val="00B334F6"/>
    <w:rsid w:val="00B426FE"/>
    <w:rsid w:val="00B47B7B"/>
    <w:rsid w:val="00B50C34"/>
    <w:rsid w:val="00B63E76"/>
    <w:rsid w:val="00B7708C"/>
    <w:rsid w:val="00B94ED0"/>
    <w:rsid w:val="00BA26CC"/>
    <w:rsid w:val="00BA5675"/>
    <w:rsid w:val="00BA5B0B"/>
    <w:rsid w:val="00BB1C78"/>
    <w:rsid w:val="00BB2943"/>
    <w:rsid w:val="00BB3EAC"/>
    <w:rsid w:val="00BC58CB"/>
    <w:rsid w:val="00BC6F94"/>
    <w:rsid w:val="00BD1429"/>
    <w:rsid w:val="00BE0DD7"/>
    <w:rsid w:val="00BE125B"/>
    <w:rsid w:val="00BE1899"/>
    <w:rsid w:val="00BE675A"/>
    <w:rsid w:val="00BF4053"/>
    <w:rsid w:val="00BF5295"/>
    <w:rsid w:val="00C014BD"/>
    <w:rsid w:val="00C06F7C"/>
    <w:rsid w:val="00C07C8F"/>
    <w:rsid w:val="00C23546"/>
    <w:rsid w:val="00C25BFE"/>
    <w:rsid w:val="00C309B9"/>
    <w:rsid w:val="00C3564D"/>
    <w:rsid w:val="00C401F6"/>
    <w:rsid w:val="00C53685"/>
    <w:rsid w:val="00C630DE"/>
    <w:rsid w:val="00C66BB9"/>
    <w:rsid w:val="00C709FB"/>
    <w:rsid w:val="00C770AD"/>
    <w:rsid w:val="00C80EDB"/>
    <w:rsid w:val="00C81554"/>
    <w:rsid w:val="00C967FC"/>
    <w:rsid w:val="00CA2150"/>
    <w:rsid w:val="00CB0EDE"/>
    <w:rsid w:val="00CB11AF"/>
    <w:rsid w:val="00CB2266"/>
    <w:rsid w:val="00CB61C9"/>
    <w:rsid w:val="00CB6AD4"/>
    <w:rsid w:val="00CC038E"/>
    <w:rsid w:val="00CC64AD"/>
    <w:rsid w:val="00CC665D"/>
    <w:rsid w:val="00CD09C6"/>
    <w:rsid w:val="00CD139B"/>
    <w:rsid w:val="00CD42E9"/>
    <w:rsid w:val="00CE2C19"/>
    <w:rsid w:val="00CE684C"/>
    <w:rsid w:val="00CF06CC"/>
    <w:rsid w:val="00CF40F4"/>
    <w:rsid w:val="00CF5D24"/>
    <w:rsid w:val="00CF703D"/>
    <w:rsid w:val="00CF7F6B"/>
    <w:rsid w:val="00D117AA"/>
    <w:rsid w:val="00D21A0D"/>
    <w:rsid w:val="00D34B52"/>
    <w:rsid w:val="00D378CA"/>
    <w:rsid w:val="00D4625C"/>
    <w:rsid w:val="00D463B9"/>
    <w:rsid w:val="00D50921"/>
    <w:rsid w:val="00D5203F"/>
    <w:rsid w:val="00D54A40"/>
    <w:rsid w:val="00D612B0"/>
    <w:rsid w:val="00D6393D"/>
    <w:rsid w:val="00D75C13"/>
    <w:rsid w:val="00D85699"/>
    <w:rsid w:val="00D85FD4"/>
    <w:rsid w:val="00D93E7D"/>
    <w:rsid w:val="00D958C3"/>
    <w:rsid w:val="00DA5F8E"/>
    <w:rsid w:val="00DA6113"/>
    <w:rsid w:val="00DA77FD"/>
    <w:rsid w:val="00DB2619"/>
    <w:rsid w:val="00DC0848"/>
    <w:rsid w:val="00DD4EDD"/>
    <w:rsid w:val="00DD5D46"/>
    <w:rsid w:val="00DD60C8"/>
    <w:rsid w:val="00DF69DB"/>
    <w:rsid w:val="00E01EBB"/>
    <w:rsid w:val="00E121B3"/>
    <w:rsid w:val="00E16073"/>
    <w:rsid w:val="00E254C7"/>
    <w:rsid w:val="00E27848"/>
    <w:rsid w:val="00E317F2"/>
    <w:rsid w:val="00E3783E"/>
    <w:rsid w:val="00E401B8"/>
    <w:rsid w:val="00E40DD3"/>
    <w:rsid w:val="00E43EE9"/>
    <w:rsid w:val="00E53A4B"/>
    <w:rsid w:val="00E60982"/>
    <w:rsid w:val="00E61366"/>
    <w:rsid w:val="00E71839"/>
    <w:rsid w:val="00E72AA5"/>
    <w:rsid w:val="00E72DBF"/>
    <w:rsid w:val="00E73AED"/>
    <w:rsid w:val="00E820D6"/>
    <w:rsid w:val="00E85E93"/>
    <w:rsid w:val="00E87D17"/>
    <w:rsid w:val="00E94653"/>
    <w:rsid w:val="00E97AF4"/>
    <w:rsid w:val="00EC5751"/>
    <w:rsid w:val="00ED2A52"/>
    <w:rsid w:val="00ED2D11"/>
    <w:rsid w:val="00ED5CAF"/>
    <w:rsid w:val="00ED7E2D"/>
    <w:rsid w:val="00EF283C"/>
    <w:rsid w:val="00EF3094"/>
    <w:rsid w:val="00F0056F"/>
    <w:rsid w:val="00F05D4A"/>
    <w:rsid w:val="00F1089B"/>
    <w:rsid w:val="00F12DAD"/>
    <w:rsid w:val="00F13F5A"/>
    <w:rsid w:val="00F17930"/>
    <w:rsid w:val="00F31619"/>
    <w:rsid w:val="00F32F66"/>
    <w:rsid w:val="00F346A6"/>
    <w:rsid w:val="00F35A23"/>
    <w:rsid w:val="00F45DF9"/>
    <w:rsid w:val="00F51A8B"/>
    <w:rsid w:val="00F550AD"/>
    <w:rsid w:val="00F60F7E"/>
    <w:rsid w:val="00F60FF6"/>
    <w:rsid w:val="00F62608"/>
    <w:rsid w:val="00F62DAE"/>
    <w:rsid w:val="00F736A3"/>
    <w:rsid w:val="00F74028"/>
    <w:rsid w:val="00F74110"/>
    <w:rsid w:val="00F76C61"/>
    <w:rsid w:val="00F77196"/>
    <w:rsid w:val="00F774B9"/>
    <w:rsid w:val="00F8040E"/>
    <w:rsid w:val="00F950DC"/>
    <w:rsid w:val="00F9669F"/>
    <w:rsid w:val="00F96E5D"/>
    <w:rsid w:val="00FA15DA"/>
    <w:rsid w:val="00FB5214"/>
    <w:rsid w:val="00FC0003"/>
    <w:rsid w:val="00FC5D6A"/>
    <w:rsid w:val="00FD76D3"/>
    <w:rsid w:val="00FE128D"/>
    <w:rsid w:val="00FE20F0"/>
    <w:rsid w:val="00FE7F4C"/>
    <w:rsid w:val="0EB07B3A"/>
    <w:rsid w:val="126E5818"/>
    <w:rsid w:val="14174DB0"/>
    <w:rsid w:val="154E2385"/>
    <w:rsid w:val="170806A8"/>
    <w:rsid w:val="18CB7C78"/>
    <w:rsid w:val="19686061"/>
    <w:rsid w:val="1D5E253B"/>
    <w:rsid w:val="1F4D1F8C"/>
    <w:rsid w:val="210422C6"/>
    <w:rsid w:val="223C0DC5"/>
    <w:rsid w:val="24715741"/>
    <w:rsid w:val="26A5550F"/>
    <w:rsid w:val="28822A85"/>
    <w:rsid w:val="2A7D2C98"/>
    <w:rsid w:val="2A97277E"/>
    <w:rsid w:val="2AFE6F06"/>
    <w:rsid w:val="38FD139F"/>
    <w:rsid w:val="400D55E7"/>
    <w:rsid w:val="46DC51CE"/>
    <w:rsid w:val="49AF6022"/>
    <w:rsid w:val="52F04B71"/>
    <w:rsid w:val="554049B6"/>
    <w:rsid w:val="555A21C4"/>
    <w:rsid w:val="56E55727"/>
    <w:rsid w:val="5920542C"/>
    <w:rsid w:val="59D17711"/>
    <w:rsid w:val="5FB30AF6"/>
    <w:rsid w:val="6792359E"/>
    <w:rsid w:val="6B74128A"/>
    <w:rsid w:val="6B7F1114"/>
    <w:rsid w:val="6F854E21"/>
    <w:rsid w:val="712330CA"/>
    <w:rsid w:val="73E547CE"/>
    <w:rsid w:val="7A80663E"/>
    <w:rsid w:val="7B2064E3"/>
    <w:rsid w:val="7BB3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日期 字符"/>
    <w:link w:val="2"/>
    <w:qFormat/>
    <w:uiPriority w:val="0"/>
    <w:rPr>
      <w:kern w:val="2"/>
      <w:sz w:val="21"/>
      <w:szCs w:val="24"/>
    </w:rPr>
  </w:style>
  <w:style w:type="character" w:customStyle="1" w:styleId="13">
    <w:name w:val="页眉 字符"/>
    <w:link w:val="5"/>
    <w:qFormat/>
    <w:uiPriority w:val="99"/>
    <w:rPr>
      <w:kern w:val="2"/>
      <w:sz w:val="18"/>
      <w:szCs w:val="18"/>
    </w:rPr>
  </w:style>
  <w:style w:type="character" w:styleId="14">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1E079-C01D-4A03-A276-5714DBF3E47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908</Words>
  <Characters>5181</Characters>
  <Lines>43</Lines>
  <Paragraphs>12</Paragraphs>
  <TotalTime>5</TotalTime>
  <ScaleCrop>false</ScaleCrop>
  <LinksUpToDate>false</LinksUpToDate>
  <CharactersWithSpaces>6077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2021-04-27T08:17:00Z</dcterms:created>
  <dc:creator>YlmF</dc:creator>
  <cp:lastModifiedBy>夕阳残落，未必黄昏</cp:lastModifiedBy>
  <cp:lastPrinted>2020-09-26T03:49:00Z</cp:lastPrinted>
  <dcterms:modified xsi:type="dcterms:W3CDTF">2021-05-07T06:30:32Z</dcterms:modified>
  <dc:title>能源学院2007级硕士研究生第二年基本奖助学金评定细则（初稿）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3C4C001491554223B3010310D410098D</vt:lpwstr>
  </property>
</Properties>
</file>